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066" w:rsidRPr="00327F64" w:rsidRDefault="00323C0F" w:rsidP="00BF4A5A">
      <w:pPr>
        <w:spacing w:line="360" w:lineRule="auto"/>
        <w:jc w:val="center"/>
        <w:rPr>
          <w:rFonts w:ascii="Calibri" w:eastAsia="HY헤드라인M" w:hAnsi="Calibri" w:cs="Calibri"/>
          <w:b/>
          <w:sz w:val="34"/>
          <w:szCs w:val="34"/>
        </w:rPr>
      </w:pPr>
      <w:r w:rsidRPr="00327F64">
        <w:rPr>
          <w:rFonts w:ascii="Calibri" w:eastAsia="HY헤드라인M" w:hAnsi="Calibri" w:cs="Calibri"/>
          <w:b/>
          <w:sz w:val="34"/>
          <w:szCs w:val="34"/>
        </w:rPr>
        <w:t>Research Topics</w:t>
      </w:r>
      <w:r w:rsidR="00BF4A5A" w:rsidRPr="00327F64">
        <w:rPr>
          <w:rFonts w:ascii="Calibri" w:eastAsia="HY헤드라인M" w:hAnsi="Calibri" w:cs="Calibri"/>
          <w:b/>
          <w:sz w:val="34"/>
          <w:szCs w:val="34"/>
        </w:rPr>
        <w:t xml:space="preserve"> for</w:t>
      </w:r>
      <w:r w:rsidR="00BF4A5A" w:rsidRPr="00327F64">
        <w:rPr>
          <w:rFonts w:ascii="Calibri" w:eastAsia="HY헤드라인M" w:hAnsi="Calibri" w:cs="Calibri"/>
          <w:b/>
          <w:sz w:val="34"/>
          <w:szCs w:val="34"/>
        </w:rPr>
        <w:br/>
        <w:t>the BK21</w:t>
      </w:r>
      <w:r w:rsidR="00BF4A5A" w:rsidRPr="00327F64">
        <w:rPr>
          <w:rFonts w:ascii="Calibri" w:eastAsia="바탕" w:hAnsi="Calibri" w:cs="Calibri"/>
          <w:b/>
          <w:sz w:val="34"/>
          <w:szCs w:val="34"/>
        </w:rPr>
        <w:t>–</w:t>
      </w:r>
      <w:r w:rsidR="005D2537">
        <w:rPr>
          <w:rFonts w:ascii="Calibri" w:eastAsia="HY헤드라인M" w:hAnsi="Calibri" w:cs="Calibri"/>
          <w:b/>
          <w:sz w:val="34"/>
          <w:szCs w:val="34"/>
        </w:rPr>
        <w:t>KOICA GLOCOM Project (Fall</w:t>
      </w:r>
      <w:r w:rsidR="00BF4A5A" w:rsidRPr="00327F64">
        <w:rPr>
          <w:rFonts w:ascii="Calibri" w:eastAsia="HY헤드라인M" w:hAnsi="Calibri" w:cs="Calibri"/>
          <w:b/>
          <w:sz w:val="34"/>
          <w:szCs w:val="34"/>
        </w:rPr>
        <w:t xml:space="preserve"> 2026)</w:t>
      </w:r>
      <w:r w:rsidR="005D2537">
        <w:rPr>
          <w:rFonts w:ascii="Calibri" w:eastAsia="HY헤드라인M" w:hAnsi="Calibri" w:cs="Calibri"/>
          <w:b/>
          <w:sz w:val="34"/>
          <w:szCs w:val="34"/>
        </w:rPr>
        <w:t xml:space="preserve"> </w:t>
      </w:r>
      <w:bookmarkStart w:id="0" w:name="_GoBack"/>
      <w:bookmarkEnd w:id="0"/>
    </w:p>
    <w:p w:rsidR="00323C0F" w:rsidRPr="00327F64" w:rsidRDefault="00323C0F">
      <w:pPr>
        <w:rPr>
          <w:rFonts w:ascii="Calibri" w:hAnsi="Calibri" w:cs="Calibri" w:hint="eastAsia"/>
          <w:sz w:val="10"/>
          <w:szCs w:val="10"/>
        </w:rPr>
      </w:pPr>
    </w:p>
    <w:p w:rsidR="0024137B" w:rsidRPr="00327F64" w:rsidRDefault="00BF4A5A">
      <w:pPr>
        <w:rPr>
          <w:rFonts w:ascii="Calibri" w:hAnsi="Calibri" w:cs="Calibri"/>
          <w:b/>
          <w:sz w:val="26"/>
          <w:szCs w:val="26"/>
        </w:rPr>
      </w:pPr>
      <w:r w:rsidRPr="00327F64">
        <w:rPr>
          <w:rFonts w:ascii="Calibri" w:hAnsi="Calibri" w:cs="Calibri"/>
          <w:b/>
          <w:sz w:val="26"/>
          <w:szCs w:val="26"/>
        </w:rPr>
        <w:t>[O</w:t>
      </w:r>
      <w:r w:rsidR="00327F64">
        <w:rPr>
          <w:rFonts w:ascii="Calibri" w:hAnsi="Calibri" w:cs="Calibri"/>
          <w:b/>
          <w:sz w:val="26"/>
          <w:szCs w:val="26"/>
        </w:rPr>
        <w:t xml:space="preserve">ption 1: Liberia] Between </w:t>
      </w:r>
      <w:r w:rsidR="00327F64" w:rsidRPr="00327F64">
        <w:rPr>
          <w:rFonts w:ascii="Calibri" w:hAnsi="Calibri" w:cs="Calibri"/>
          <w:b/>
          <w:sz w:val="26"/>
          <w:szCs w:val="26"/>
        </w:rPr>
        <w:t>Export Growth and Trade Rebalancing</w:t>
      </w:r>
      <w:r w:rsidR="00327F64">
        <w:rPr>
          <w:rFonts w:ascii="Calibri" w:hAnsi="Calibri" w:cs="Calibri"/>
          <w:b/>
          <w:sz w:val="26"/>
          <w:szCs w:val="26"/>
        </w:rPr>
        <w:t xml:space="preserve">: </w:t>
      </w:r>
      <w:r w:rsidR="00327F64" w:rsidRPr="00327F64">
        <w:rPr>
          <w:rFonts w:ascii="Calibri" w:hAnsi="Calibri" w:cs="Calibri"/>
          <w:b/>
          <w:sz w:val="26"/>
          <w:szCs w:val="26"/>
        </w:rPr>
        <w:t>Vietnam’s Response to U.S. Concerns over the Bilateral Trade Surplus</w:t>
      </w:r>
    </w:p>
    <w:tbl>
      <w:tblPr>
        <w:tblStyle w:val="a4"/>
        <w:tblW w:w="0" w:type="auto"/>
        <w:tblBorders>
          <w:insideH w:val="dotted" w:sz="4" w:space="0" w:color="auto"/>
        </w:tblBorders>
        <w:tblLook w:val="04A0" w:firstRow="1" w:lastRow="0" w:firstColumn="1" w:lastColumn="0" w:noHBand="0" w:noVBand="1"/>
      </w:tblPr>
      <w:tblGrid>
        <w:gridCol w:w="9016"/>
      </w:tblGrid>
      <w:tr w:rsidR="0024137B" w:rsidRPr="00327F64" w:rsidTr="005354F5">
        <w:tc>
          <w:tcPr>
            <w:tcW w:w="9016" w:type="dxa"/>
            <w:tcBorders>
              <w:top w:val="single" w:sz="4" w:space="0" w:color="auto"/>
              <w:bottom w:val="dotted" w:sz="4" w:space="0" w:color="auto"/>
            </w:tcBorders>
            <w:shd w:val="clear" w:color="auto" w:fill="F2F2F2" w:themeFill="background1" w:themeFillShade="F2"/>
          </w:tcPr>
          <w:p w:rsidR="0024137B" w:rsidRPr="00327F64" w:rsidRDefault="0024137B" w:rsidP="00BF4A5A">
            <w:pPr>
              <w:jc w:val="left"/>
              <w:rPr>
                <w:rFonts w:ascii="Calibri" w:hAnsi="Calibri" w:cs="Calibri"/>
                <w:b/>
                <w:sz w:val="26"/>
                <w:szCs w:val="26"/>
              </w:rPr>
            </w:pPr>
            <w:r w:rsidRPr="00327F64">
              <w:rPr>
                <w:rFonts w:ascii="Calibri" w:hAnsi="Calibri" w:cs="Calibri"/>
                <w:b/>
                <w:sz w:val="26"/>
                <w:szCs w:val="26"/>
              </w:rPr>
              <w:t>&lt;Research topic description&gt;</w:t>
            </w:r>
          </w:p>
        </w:tc>
      </w:tr>
      <w:tr w:rsidR="00323C0F" w:rsidRPr="00327F64" w:rsidTr="005354F5">
        <w:tc>
          <w:tcPr>
            <w:tcW w:w="9016" w:type="dxa"/>
            <w:tcBorders>
              <w:top w:val="dotted" w:sz="4" w:space="0" w:color="auto"/>
            </w:tcBorders>
          </w:tcPr>
          <w:p w:rsidR="0024137B" w:rsidRPr="00327F64" w:rsidRDefault="0024137B" w:rsidP="00BF4A5A">
            <w:pPr>
              <w:jc w:val="left"/>
              <w:rPr>
                <w:rFonts w:ascii="Calibri" w:hAnsi="Calibri" w:cs="Calibri"/>
                <w:sz w:val="10"/>
                <w:szCs w:val="10"/>
              </w:rPr>
            </w:pPr>
          </w:p>
          <w:p w:rsidR="00327F64" w:rsidRPr="00327F64" w:rsidRDefault="00327F64" w:rsidP="00327F64">
            <w:pPr>
              <w:ind w:firstLineChars="50" w:firstLine="130"/>
              <w:jc w:val="left"/>
              <w:rPr>
                <w:rFonts w:ascii="Calibri" w:hAnsi="Calibri" w:cs="Calibri"/>
                <w:sz w:val="26"/>
                <w:szCs w:val="26"/>
              </w:rPr>
            </w:pPr>
            <w:r w:rsidRPr="00327F64">
              <w:rPr>
                <w:rFonts w:ascii="Calibri" w:hAnsi="Calibri" w:cs="Calibri"/>
                <w:sz w:val="26"/>
                <w:szCs w:val="26"/>
              </w:rPr>
              <w:t xml:space="preserve">The United States has become one of Vietnam’s most important export markets, while Vietnam has also recorded a large and growing bilateral trade surplus with the United States. This development has created an important policy tension. On the one hand, access to the U.S. market has supported Vietnam’s export-oriented growth strategy, manufacturing expansion, and participation in global supply chains. On the other hand, the widening trade imbalance has attracted increasing U.S. attention to issues such as market access, trade reciprocity, rules of origin, and supply-chain restructuring. </w:t>
            </w:r>
          </w:p>
          <w:p w:rsidR="00323C0F" w:rsidRPr="00327F64" w:rsidRDefault="00327F64" w:rsidP="00327F64">
            <w:pPr>
              <w:spacing w:after="160"/>
              <w:ind w:firstLineChars="50" w:firstLine="130"/>
              <w:jc w:val="left"/>
              <w:rPr>
                <w:rFonts w:ascii="Calibri" w:hAnsi="Calibri" w:cs="Calibri"/>
                <w:sz w:val="26"/>
                <w:szCs w:val="26"/>
              </w:rPr>
            </w:pPr>
            <w:r w:rsidRPr="00327F64">
              <w:rPr>
                <w:rFonts w:ascii="Calibri" w:hAnsi="Calibri" w:cs="Calibri"/>
                <w:sz w:val="26"/>
                <w:szCs w:val="26"/>
              </w:rPr>
              <w:t>This topic provides a clear example of a glocal conflict in which changes in the global trade environment interact with Vietnam’s domestic development strategy. The proposed study will examine how Vietnam has responded to U.S. concerns over the bilateral trade imbalance while seeking to preserve export growth and economic integration. A qualitative case-study approach, drawing on official policy documents, bilateral statements, trade reports, an</w:t>
            </w:r>
            <w:r w:rsidRPr="00327F64">
              <w:rPr>
                <w:rFonts w:ascii="Calibri" w:hAnsi="Calibri" w:cs="Calibri"/>
                <w:sz w:val="26"/>
                <w:szCs w:val="26"/>
              </w:rPr>
              <w:t xml:space="preserve">d existing academic literature, </w:t>
            </w:r>
            <w:r w:rsidRPr="00327F64">
              <w:rPr>
                <w:rFonts w:ascii="Calibri" w:hAnsi="Calibri" w:cs="Calibri"/>
                <w:sz w:val="26"/>
                <w:szCs w:val="26"/>
              </w:rPr>
              <w:t>can be used to identify Vietnam’s main policy responses and the trade-offs involved in balancing external trade relations with domestic economic priorities.</w:t>
            </w:r>
          </w:p>
        </w:tc>
      </w:tr>
    </w:tbl>
    <w:p w:rsidR="00323C0F" w:rsidRDefault="00323C0F" w:rsidP="00BF4A5A">
      <w:pPr>
        <w:rPr>
          <w:rFonts w:ascii="Calibri" w:hAnsi="Calibri" w:cs="Calibri"/>
          <w:sz w:val="26"/>
          <w:szCs w:val="26"/>
        </w:rPr>
      </w:pPr>
    </w:p>
    <w:p w:rsidR="005D2537" w:rsidRPr="00327F64" w:rsidRDefault="005D2537" w:rsidP="00BF4A5A">
      <w:pPr>
        <w:rPr>
          <w:rFonts w:ascii="Calibri" w:hAnsi="Calibri" w:cs="Calibri" w:hint="eastAsia"/>
          <w:sz w:val="26"/>
          <w:szCs w:val="26"/>
        </w:rPr>
      </w:pPr>
    </w:p>
    <w:p w:rsidR="0024137B" w:rsidRPr="00327F64" w:rsidRDefault="00BF4A5A" w:rsidP="0024137B">
      <w:pPr>
        <w:rPr>
          <w:rFonts w:ascii="Calibri" w:hAnsi="Calibri" w:cs="Calibri"/>
          <w:b/>
          <w:sz w:val="26"/>
          <w:szCs w:val="26"/>
        </w:rPr>
      </w:pPr>
      <w:r w:rsidRPr="00327F64">
        <w:rPr>
          <w:rFonts w:ascii="Calibri" w:hAnsi="Calibri" w:cs="Calibri"/>
          <w:b/>
          <w:sz w:val="26"/>
          <w:szCs w:val="26"/>
        </w:rPr>
        <w:t>[O</w:t>
      </w:r>
      <w:r w:rsidR="00327F64" w:rsidRPr="00327F64">
        <w:rPr>
          <w:rFonts w:ascii="Calibri" w:hAnsi="Calibri" w:cs="Calibri"/>
          <w:b/>
          <w:sz w:val="26"/>
          <w:szCs w:val="26"/>
        </w:rPr>
        <w:t>ption 2: Liberia] Foreign Aid Dependency and Domestic Revenue Mobilization in Post-Conflict Liberia: Implications for Fiscal Self-Reliance</w:t>
      </w:r>
    </w:p>
    <w:tbl>
      <w:tblPr>
        <w:tblStyle w:val="a4"/>
        <w:tblW w:w="0" w:type="auto"/>
        <w:tblBorders>
          <w:insideH w:val="dotted" w:sz="4" w:space="0" w:color="auto"/>
        </w:tblBorders>
        <w:tblLook w:val="04A0" w:firstRow="1" w:lastRow="0" w:firstColumn="1" w:lastColumn="0" w:noHBand="0" w:noVBand="1"/>
      </w:tblPr>
      <w:tblGrid>
        <w:gridCol w:w="9016"/>
      </w:tblGrid>
      <w:tr w:rsidR="0024137B" w:rsidRPr="00327F64" w:rsidTr="005354F5">
        <w:tc>
          <w:tcPr>
            <w:tcW w:w="9016" w:type="dxa"/>
            <w:tcBorders>
              <w:top w:val="single" w:sz="4" w:space="0" w:color="auto"/>
              <w:bottom w:val="dotted" w:sz="4" w:space="0" w:color="auto"/>
            </w:tcBorders>
            <w:shd w:val="clear" w:color="auto" w:fill="F2F2F2" w:themeFill="background1" w:themeFillShade="F2"/>
          </w:tcPr>
          <w:p w:rsidR="0024137B" w:rsidRPr="00327F64" w:rsidRDefault="0024137B" w:rsidP="00250C60">
            <w:pPr>
              <w:jc w:val="left"/>
              <w:rPr>
                <w:rFonts w:ascii="Calibri" w:hAnsi="Calibri" w:cs="Calibri"/>
                <w:b/>
                <w:sz w:val="26"/>
                <w:szCs w:val="26"/>
              </w:rPr>
            </w:pPr>
            <w:r w:rsidRPr="00327F64">
              <w:rPr>
                <w:rFonts w:ascii="Calibri" w:hAnsi="Calibri" w:cs="Calibri"/>
                <w:b/>
                <w:sz w:val="26"/>
                <w:szCs w:val="26"/>
              </w:rPr>
              <w:t>&lt;Research topic description&gt;</w:t>
            </w:r>
          </w:p>
        </w:tc>
      </w:tr>
      <w:tr w:rsidR="0024137B" w:rsidRPr="00327F64" w:rsidTr="005354F5">
        <w:tc>
          <w:tcPr>
            <w:tcW w:w="9016" w:type="dxa"/>
            <w:tcBorders>
              <w:top w:val="dotted" w:sz="4" w:space="0" w:color="auto"/>
            </w:tcBorders>
          </w:tcPr>
          <w:p w:rsidR="0024137B" w:rsidRPr="00327F64" w:rsidRDefault="0024137B" w:rsidP="00250C60">
            <w:pPr>
              <w:jc w:val="left"/>
              <w:rPr>
                <w:rFonts w:ascii="Calibri" w:hAnsi="Calibri" w:cs="Calibri"/>
                <w:sz w:val="10"/>
                <w:szCs w:val="10"/>
              </w:rPr>
            </w:pPr>
          </w:p>
          <w:p w:rsidR="00327F64" w:rsidRPr="00327F64" w:rsidRDefault="00327F64" w:rsidP="00327F64">
            <w:pPr>
              <w:ind w:firstLineChars="50" w:firstLine="130"/>
              <w:jc w:val="left"/>
              <w:rPr>
                <w:rFonts w:ascii="Calibri" w:hAnsi="Calibri" w:cs="Calibri"/>
                <w:sz w:val="26"/>
                <w:szCs w:val="26"/>
              </w:rPr>
            </w:pPr>
            <w:r>
              <w:rPr>
                <w:rFonts w:ascii="Calibri" w:hAnsi="Calibri" w:cs="Calibri"/>
                <w:sz w:val="26"/>
                <w:szCs w:val="26"/>
              </w:rPr>
              <w:t>This research topic stems from the</w:t>
            </w:r>
            <w:r w:rsidRPr="00327F64">
              <w:rPr>
                <w:rFonts w:ascii="Calibri" w:hAnsi="Calibri" w:cs="Calibri"/>
                <w:sz w:val="26"/>
                <w:szCs w:val="26"/>
              </w:rPr>
              <w:t xml:space="preserve"> </w:t>
            </w:r>
            <w:r w:rsidR="005D2537">
              <w:rPr>
                <w:rFonts w:ascii="Calibri" w:hAnsi="Calibri" w:cs="Calibri"/>
                <w:sz w:val="26"/>
                <w:szCs w:val="26"/>
              </w:rPr>
              <w:t xml:space="preserve">academic </w:t>
            </w:r>
            <w:r w:rsidRPr="00327F64">
              <w:rPr>
                <w:rFonts w:ascii="Calibri" w:hAnsi="Calibri" w:cs="Calibri"/>
                <w:sz w:val="26"/>
                <w:szCs w:val="26"/>
              </w:rPr>
              <w:t>interest in understanding how developing cou</w:t>
            </w:r>
            <w:r>
              <w:rPr>
                <w:rFonts w:ascii="Calibri" w:hAnsi="Calibri" w:cs="Calibri"/>
                <w:sz w:val="26"/>
                <w:szCs w:val="26"/>
              </w:rPr>
              <w:t>ntries can achieve fiscal self-</w:t>
            </w:r>
            <w:r w:rsidRPr="00327F64">
              <w:rPr>
                <w:rFonts w:ascii="Calibri" w:hAnsi="Calibri" w:cs="Calibri"/>
                <w:sz w:val="26"/>
                <w:szCs w:val="26"/>
              </w:rPr>
              <w:t xml:space="preserve">reliance and sustainable development through effective domestic revenue mobilization. </w:t>
            </w:r>
            <w:r>
              <w:rPr>
                <w:rFonts w:ascii="Calibri" w:hAnsi="Calibri" w:cs="Calibri"/>
                <w:sz w:val="26"/>
                <w:szCs w:val="26"/>
              </w:rPr>
              <w:t xml:space="preserve">This project designed to explore the </w:t>
            </w:r>
            <w:r w:rsidRPr="00327F64">
              <w:rPr>
                <w:rFonts w:ascii="Calibri" w:hAnsi="Calibri" w:cs="Calibri"/>
                <w:sz w:val="26"/>
                <w:szCs w:val="26"/>
              </w:rPr>
              <w:t>relationship between foreign aid and Liberia’s capacity to finance its own development priorities.</w:t>
            </w:r>
          </w:p>
          <w:p w:rsidR="00327F64" w:rsidRPr="00327F64" w:rsidRDefault="00327F64" w:rsidP="00327F64">
            <w:pPr>
              <w:ind w:firstLineChars="50" w:firstLine="130"/>
              <w:jc w:val="left"/>
              <w:rPr>
                <w:rFonts w:ascii="Calibri" w:hAnsi="Calibri" w:cs="Calibri"/>
                <w:sz w:val="26"/>
                <w:szCs w:val="26"/>
              </w:rPr>
            </w:pPr>
            <w:r w:rsidRPr="00327F64">
              <w:rPr>
                <w:rFonts w:ascii="Calibri" w:hAnsi="Calibri" w:cs="Calibri"/>
                <w:sz w:val="26"/>
                <w:szCs w:val="26"/>
              </w:rPr>
              <w:t>Since the end of Liberia’s civil conflict in 2003, foreign aid has played an important role in supporting reconstruction, institutional development, and essential pub</w:t>
            </w:r>
            <w:r w:rsidR="005D2537">
              <w:rPr>
                <w:rFonts w:ascii="Calibri" w:hAnsi="Calibri" w:cs="Calibri"/>
                <w:sz w:val="26"/>
                <w:szCs w:val="26"/>
              </w:rPr>
              <w:t>lic services. However, It seems</w:t>
            </w:r>
            <w:r w:rsidRPr="00327F64">
              <w:rPr>
                <w:rFonts w:ascii="Calibri" w:hAnsi="Calibri" w:cs="Calibri"/>
                <w:sz w:val="26"/>
                <w:szCs w:val="26"/>
              </w:rPr>
              <w:t xml:space="preserve"> that continued reliance on external assistance raises important </w:t>
            </w:r>
            <w:r w:rsidRPr="00327F64">
              <w:rPr>
                <w:rFonts w:ascii="Calibri" w:hAnsi="Calibri" w:cs="Calibri"/>
                <w:sz w:val="26"/>
                <w:szCs w:val="26"/>
              </w:rPr>
              <w:t>questions about the country’s long</w:t>
            </w:r>
            <w:r w:rsidRPr="00327F64">
              <w:rPr>
                <w:rFonts w:ascii="Calibri" w:hAnsi="Calibri" w:cs="Calibri"/>
                <w:sz w:val="26"/>
                <w:szCs w:val="26"/>
              </w:rPr>
              <w:t>-</w:t>
            </w:r>
            <w:r w:rsidRPr="00327F64">
              <w:rPr>
                <w:rFonts w:ascii="Calibri" w:hAnsi="Calibri" w:cs="Calibri"/>
                <w:sz w:val="26"/>
                <w:szCs w:val="26"/>
              </w:rPr>
              <w:t xml:space="preserve">term fiscal sustainability and </w:t>
            </w:r>
            <w:r w:rsidRPr="00327F64">
              <w:rPr>
                <w:rFonts w:ascii="Calibri" w:hAnsi="Calibri" w:cs="Calibri"/>
                <w:sz w:val="26"/>
                <w:szCs w:val="26"/>
              </w:rPr>
              <w:lastRenderedPageBreak/>
              <w:t>economic</w:t>
            </w:r>
            <w:r w:rsidR="005D2537">
              <w:rPr>
                <w:rFonts w:ascii="Calibri" w:hAnsi="Calibri" w:cs="Calibri"/>
                <w:sz w:val="26"/>
                <w:szCs w:val="26"/>
              </w:rPr>
              <w:t xml:space="preserve"> independence. This motivates us</w:t>
            </w:r>
            <w:r w:rsidRPr="00327F64">
              <w:rPr>
                <w:rFonts w:ascii="Calibri" w:hAnsi="Calibri" w:cs="Calibri"/>
                <w:sz w:val="26"/>
                <w:szCs w:val="26"/>
              </w:rPr>
              <w:t xml:space="preserve"> to propose a study examining whether foreign aid </w:t>
            </w:r>
            <w:r w:rsidRPr="00327F64">
              <w:rPr>
                <w:rFonts w:ascii="Calibri" w:hAnsi="Calibri" w:cs="Calibri"/>
                <w:sz w:val="26"/>
                <w:szCs w:val="26"/>
              </w:rPr>
              <w:t>dependency supports domestic</w:t>
            </w:r>
            <w:r>
              <w:rPr>
                <w:rFonts w:ascii="Calibri" w:hAnsi="Calibri" w:cs="Calibri"/>
                <w:sz w:val="26"/>
                <w:szCs w:val="26"/>
              </w:rPr>
              <w:t xml:space="preserve"> revenue mobilization</w:t>
            </w:r>
            <w:r w:rsidRPr="00327F64">
              <w:rPr>
                <w:rFonts w:ascii="Calibri" w:hAnsi="Calibri" w:cs="Calibri"/>
                <w:sz w:val="26"/>
                <w:szCs w:val="26"/>
              </w:rPr>
              <w:t xml:space="preserve"> </w:t>
            </w:r>
            <w:r w:rsidRPr="00327F64">
              <w:rPr>
                <w:rFonts w:ascii="Calibri" w:hAnsi="Calibri" w:cs="Calibri"/>
                <w:sz w:val="26"/>
                <w:szCs w:val="26"/>
              </w:rPr>
              <w:t>by strengthening</w:t>
            </w:r>
            <w:r w:rsidRPr="00327F64">
              <w:rPr>
                <w:rFonts w:ascii="Calibri" w:hAnsi="Calibri" w:cs="Calibri"/>
                <w:sz w:val="26"/>
                <w:szCs w:val="26"/>
              </w:rPr>
              <w:t xml:space="preserve"> tax administration and institutional capacity or potentially weakened incentives to increase domestic revenue collection.</w:t>
            </w:r>
          </w:p>
          <w:p w:rsidR="005D2537" w:rsidRPr="005D2537" w:rsidRDefault="005D2537" w:rsidP="005D2537">
            <w:pPr>
              <w:ind w:firstLineChars="50" w:firstLine="130"/>
              <w:jc w:val="left"/>
              <w:rPr>
                <w:rFonts w:ascii="Calibri" w:hAnsi="Calibri" w:cs="Calibri" w:hint="eastAsia"/>
                <w:sz w:val="26"/>
                <w:szCs w:val="26"/>
              </w:rPr>
            </w:pPr>
            <w:r>
              <w:rPr>
                <w:rFonts w:ascii="Calibri" w:hAnsi="Calibri" w:cs="Calibri"/>
                <w:sz w:val="26"/>
                <w:szCs w:val="26"/>
              </w:rPr>
              <w:t>This proposed research aims</w:t>
            </w:r>
            <w:r w:rsidR="00327F64" w:rsidRPr="00327F64">
              <w:rPr>
                <w:rFonts w:ascii="Calibri" w:hAnsi="Calibri" w:cs="Calibri"/>
                <w:sz w:val="26"/>
                <w:szCs w:val="26"/>
              </w:rPr>
              <w:t xml:space="preserve"> to develop a deeper </w:t>
            </w:r>
            <w:r w:rsidR="00327F64">
              <w:rPr>
                <w:rFonts w:ascii="Calibri" w:hAnsi="Calibri" w:cs="Calibri"/>
                <w:sz w:val="26"/>
                <w:szCs w:val="26"/>
              </w:rPr>
              <w:t>understanding of the challenges</w:t>
            </w:r>
            <w:r w:rsidR="00327F64" w:rsidRPr="00327F64">
              <w:rPr>
                <w:rFonts w:ascii="Calibri" w:hAnsi="Calibri" w:cs="Calibri"/>
                <w:sz w:val="26"/>
                <w:szCs w:val="26"/>
              </w:rPr>
              <w:t xml:space="preserve"> </w:t>
            </w:r>
            <w:r w:rsidR="00327F64" w:rsidRPr="00327F64">
              <w:rPr>
                <w:rFonts w:ascii="Calibri" w:hAnsi="Calibri" w:cs="Calibri"/>
                <w:sz w:val="26"/>
                <w:szCs w:val="26"/>
              </w:rPr>
              <w:t>and opportunities associated</w:t>
            </w:r>
            <w:r w:rsidR="00327F64">
              <w:rPr>
                <w:rFonts w:ascii="Calibri" w:hAnsi="Calibri" w:cs="Calibri"/>
                <w:sz w:val="26"/>
                <w:szCs w:val="26"/>
              </w:rPr>
              <w:t xml:space="preserve"> with foreign aid and domestic </w:t>
            </w:r>
            <w:r w:rsidR="00327F64" w:rsidRPr="00327F64">
              <w:rPr>
                <w:rFonts w:ascii="Calibri" w:hAnsi="Calibri" w:cs="Calibri"/>
                <w:sz w:val="26"/>
                <w:szCs w:val="26"/>
              </w:rPr>
              <w:t>revenue generation in post-conflict Liberia. I</w:t>
            </w:r>
            <w:r>
              <w:rPr>
                <w:rFonts w:ascii="Calibri" w:hAnsi="Calibri" w:cs="Calibri"/>
                <w:sz w:val="26"/>
                <w:szCs w:val="26"/>
              </w:rPr>
              <w:t>t also seeks</w:t>
            </w:r>
            <w:r w:rsidR="00327F64" w:rsidRPr="00327F64">
              <w:rPr>
                <w:rFonts w:ascii="Calibri" w:hAnsi="Calibri" w:cs="Calibri"/>
                <w:sz w:val="26"/>
                <w:szCs w:val="26"/>
              </w:rPr>
              <w:t xml:space="preserve"> to identify evidence-based insights that could inform fiscal policy discussions and contribute to strategies for strengthening Liberia’s domestic revenue system.</w:t>
            </w:r>
          </w:p>
        </w:tc>
      </w:tr>
    </w:tbl>
    <w:p w:rsidR="0024137B" w:rsidRDefault="0024137B" w:rsidP="0024137B">
      <w:pPr>
        <w:rPr>
          <w:rFonts w:ascii="Calibri" w:hAnsi="Calibri" w:cs="Calibri"/>
          <w:sz w:val="26"/>
          <w:szCs w:val="26"/>
        </w:rPr>
      </w:pPr>
    </w:p>
    <w:p w:rsidR="005D2537" w:rsidRPr="00327F64" w:rsidRDefault="005D2537" w:rsidP="0024137B">
      <w:pPr>
        <w:rPr>
          <w:rFonts w:ascii="Calibri" w:hAnsi="Calibri" w:cs="Calibri" w:hint="eastAsia"/>
          <w:sz w:val="26"/>
          <w:szCs w:val="26"/>
        </w:rPr>
      </w:pPr>
    </w:p>
    <w:p w:rsidR="0024137B" w:rsidRPr="00327F64" w:rsidRDefault="00BF4A5A" w:rsidP="0024137B">
      <w:pPr>
        <w:rPr>
          <w:rFonts w:ascii="Calibri" w:hAnsi="Calibri" w:cs="Calibri"/>
          <w:b/>
          <w:sz w:val="26"/>
          <w:szCs w:val="26"/>
        </w:rPr>
      </w:pPr>
      <w:r w:rsidRPr="00327F64">
        <w:rPr>
          <w:rFonts w:ascii="Calibri" w:hAnsi="Calibri" w:cs="Calibri"/>
          <w:b/>
          <w:sz w:val="26"/>
          <w:szCs w:val="26"/>
        </w:rPr>
        <w:t>[O</w:t>
      </w:r>
      <w:r w:rsidR="00327F64" w:rsidRPr="00327F64">
        <w:rPr>
          <w:rFonts w:ascii="Calibri" w:hAnsi="Calibri" w:cs="Calibri"/>
          <w:b/>
          <w:sz w:val="26"/>
          <w:szCs w:val="26"/>
        </w:rPr>
        <w:t xml:space="preserve">ption 3: Peru] </w:t>
      </w:r>
      <w:r w:rsidR="00327F64" w:rsidRPr="00327F64">
        <w:rPr>
          <w:rFonts w:ascii="Calibri" w:hAnsi="Calibri" w:cs="Calibri"/>
          <w:b/>
          <w:sz w:val="26"/>
          <w:szCs w:val="26"/>
          <w:lang w:val="es-MX"/>
        </w:rPr>
        <w:t>The price of development? The rising influence of China in Peru’s Economy, and its impact on the country’s critical mineral sovereignty</w:t>
      </w:r>
    </w:p>
    <w:tbl>
      <w:tblPr>
        <w:tblStyle w:val="a4"/>
        <w:tblW w:w="0" w:type="auto"/>
        <w:tblBorders>
          <w:insideH w:val="dotted" w:sz="4" w:space="0" w:color="auto"/>
        </w:tblBorders>
        <w:tblLook w:val="04A0" w:firstRow="1" w:lastRow="0" w:firstColumn="1" w:lastColumn="0" w:noHBand="0" w:noVBand="1"/>
      </w:tblPr>
      <w:tblGrid>
        <w:gridCol w:w="9016"/>
      </w:tblGrid>
      <w:tr w:rsidR="0024137B" w:rsidRPr="00327F64" w:rsidTr="005354F5">
        <w:tc>
          <w:tcPr>
            <w:tcW w:w="9016" w:type="dxa"/>
            <w:tcBorders>
              <w:top w:val="single" w:sz="4" w:space="0" w:color="auto"/>
              <w:bottom w:val="dotted" w:sz="4" w:space="0" w:color="auto"/>
            </w:tcBorders>
            <w:shd w:val="clear" w:color="auto" w:fill="F2F2F2" w:themeFill="background1" w:themeFillShade="F2"/>
          </w:tcPr>
          <w:p w:rsidR="0024137B" w:rsidRPr="00327F64" w:rsidRDefault="0024137B" w:rsidP="00250C60">
            <w:pPr>
              <w:jc w:val="left"/>
              <w:rPr>
                <w:rFonts w:ascii="Calibri" w:hAnsi="Calibri" w:cs="Calibri"/>
                <w:b/>
                <w:sz w:val="26"/>
                <w:szCs w:val="26"/>
              </w:rPr>
            </w:pPr>
            <w:r w:rsidRPr="00327F64">
              <w:rPr>
                <w:rFonts w:ascii="Calibri" w:hAnsi="Calibri" w:cs="Calibri"/>
                <w:b/>
                <w:sz w:val="26"/>
                <w:szCs w:val="26"/>
              </w:rPr>
              <w:t>&lt;Research topic description&gt;</w:t>
            </w:r>
          </w:p>
        </w:tc>
      </w:tr>
      <w:tr w:rsidR="0024137B" w:rsidRPr="00327F64" w:rsidTr="005354F5">
        <w:tc>
          <w:tcPr>
            <w:tcW w:w="9016" w:type="dxa"/>
            <w:tcBorders>
              <w:top w:val="dotted" w:sz="4" w:space="0" w:color="auto"/>
            </w:tcBorders>
          </w:tcPr>
          <w:p w:rsidR="0024137B" w:rsidRPr="00327F64" w:rsidRDefault="0024137B" w:rsidP="00250C60">
            <w:pPr>
              <w:jc w:val="left"/>
              <w:rPr>
                <w:rFonts w:ascii="Calibri" w:hAnsi="Calibri" w:cs="Calibri"/>
                <w:sz w:val="10"/>
                <w:szCs w:val="10"/>
              </w:rPr>
            </w:pPr>
          </w:p>
          <w:p w:rsidR="00327F64" w:rsidRPr="00327F64" w:rsidRDefault="00327F64" w:rsidP="005D2537">
            <w:pPr>
              <w:pBdr>
                <w:top w:val="none" w:sz="4" w:space="0" w:color="000000"/>
                <w:left w:val="none" w:sz="4" w:space="0" w:color="000000"/>
                <w:bottom w:val="none" w:sz="4" w:space="0" w:color="000000"/>
                <w:right w:val="none" w:sz="4" w:space="0" w:color="000000"/>
              </w:pBdr>
              <w:ind w:firstLineChars="50" w:firstLine="130"/>
              <w:rPr>
                <w:rFonts w:ascii="Calibri" w:hAnsi="Calibri" w:cs="Calibri" w:hint="eastAsia"/>
                <w:sz w:val="26"/>
                <w:szCs w:val="26"/>
              </w:rPr>
            </w:pPr>
            <w:r w:rsidRPr="00327F64">
              <w:rPr>
                <w:rFonts w:ascii="Calibri" w:hAnsi="Calibri" w:cs="Calibri"/>
                <w:sz w:val="26"/>
                <w:szCs w:val="26"/>
              </w:rPr>
              <w:t>For the past few decades, China has significantly increased its economic presence in Peru's core strategic sectors. Chinese state-backed companies control key parts of Lima’s critical electricity distribution network, as well as holding a 60% stake in the Port of Chancay, poised to become China’s primary logistics hub in South America. Additionally, China owns some of Peru’s largest mines, including Marcona, Toromocho and Las Bambas, the biggest copper producer in the country.</w:t>
            </w:r>
          </w:p>
          <w:p w:rsidR="00327F64" w:rsidRPr="00327F64" w:rsidRDefault="00327F64" w:rsidP="005D2537">
            <w:pPr>
              <w:pBdr>
                <w:top w:val="none" w:sz="4" w:space="0" w:color="000000"/>
                <w:left w:val="none" w:sz="4" w:space="0" w:color="000000"/>
                <w:bottom w:val="none" w:sz="4" w:space="0" w:color="000000"/>
                <w:right w:val="none" w:sz="4" w:space="0" w:color="000000"/>
              </w:pBdr>
              <w:ind w:firstLineChars="50" w:firstLine="130"/>
              <w:rPr>
                <w:rFonts w:ascii="Calibri" w:hAnsi="Calibri" w:cs="Calibri"/>
                <w:sz w:val="26"/>
                <w:szCs w:val="26"/>
              </w:rPr>
            </w:pPr>
            <w:r w:rsidRPr="00327F64">
              <w:rPr>
                <w:rFonts w:ascii="Calibri" w:hAnsi="Calibri" w:cs="Calibri"/>
                <w:sz w:val="26"/>
                <w:szCs w:val="26"/>
              </w:rPr>
              <w:t>This growing concentration of Chinese capital raises concerns about Peru’s sovereignty. While investment has brought benefits, the scale of Chinese ownership could limit Peru’s ability to make independent decisions about its economy, laws, and resources. Chinese firms might push for weaker environmental regulations or faster project approvals. A recession in China or a shift in its demand could destabilize Peru’s economy, limiting the government's financial independence. This is especially important given that the country relies on mining for 11% of its GDP and 67% of its exports (</w:t>
            </w:r>
            <w:r w:rsidRPr="00327F64">
              <w:rPr>
                <w:rFonts w:ascii="Calibri" w:hAnsi="Calibri" w:cs="Calibri"/>
                <w:sz w:val="26"/>
                <w:szCs w:val="26"/>
                <w:lang w:val="es-MX"/>
              </w:rPr>
              <w:t xml:space="preserve">Pareja C., 2026, 26th of May, </w:t>
            </w:r>
            <w:r w:rsidRPr="00327F64">
              <w:rPr>
                <w:rFonts w:ascii="Calibri" w:hAnsi="Calibri" w:cs="Calibri"/>
                <w:sz w:val="26"/>
                <w:szCs w:val="26"/>
              </w:rPr>
              <w:t>16th International Mining Meeting).</w:t>
            </w:r>
          </w:p>
          <w:p w:rsidR="00327F64" w:rsidRPr="00327F64" w:rsidRDefault="00327F64" w:rsidP="005D2537">
            <w:pPr>
              <w:pBdr>
                <w:top w:val="none" w:sz="4" w:space="0" w:color="000000"/>
                <w:left w:val="none" w:sz="4" w:space="0" w:color="000000"/>
                <w:bottom w:val="none" w:sz="4" w:space="0" w:color="000000"/>
                <w:right w:val="none" w:sz="4" w:space="0" w:color="000000"/>
              </w:pBdr>
              <w:ind w:firstLineChars="50" w:firstLine="130"/>
              <w:rPr>
                <w:rFonts w:ascii="Calibri" w:hAnsi="Calibri" w:cs="Calibri" w:hint="eastAsia"/>
                <w:sz w:val="26"/>
                <w:szCs w:val="26"/>
              </w:rPr>
            </w:pPr>
            <w:r w:rsidRPr="00327F64">
              <w:rPr>
                <w:rFonts w:ascii="Calibri" w:hAnsi="Calibri" w:cs="Calibri"/>
                <w:sz w:val="26"/>
                <w:szCs w:val="26"/>
              </w:rPr>
              <w:t>At the international level, the United States has grown wary of China’s expanding influence in Latin America, pressuring governments to audit or limit the expansion of Chinese technology and infrastructure. The U.S. views with concern the prospect of Peru ceding control over resources essential for the energy transition to its primary strategic rival. </w:t>
            </w:r>
          </w:p>
          <w:p w:rsidR="0024137B" w:rsidRDefault="00327F64" w:rsidP="00327F64">
            <w:pPr>
              <w:ind w:firstLineChars="50" w:firstLine="130"/>
              <w:jc w:val="left"/>
              <w:rPr>
                <w:rFonts w:ascii="Calibri" w:hAnsi="Calibri" w:cs="Calibri"/>
                <w:sz w:val="26"/>
                <w:szCs w:val="26"/>
              </w:rPr>
            </w:pPr>
            <w:r w:rsidRPr="00327F64">
              <w:rPr>
                <w:rFonts w:ascii="Calibri" w:hAnsi="Calibri" w:cs="Calibri"/>
                <w:sz w:val="26"/>
                <w:szCs w:val="26"/>
              </w:rPr>
              <w:t>Given Peru’s role as the world’s second largest copper producer and exporter, its economic and political alignment in this international rivalry could become increasingly conflicted. While Chinese investment has boosted Peru’s economy, the long-term implications of this dependence deserve careful consideration.</w:t>
            </w:r>
          </w:p>
          <w:p w:rsidR="00327F64" w:rsidRPr="00327F64" w:rsidRDefault="00327F64" w:rsidP="00327F64">
            <w:pPr>
              <w:ind w:firstLineChars="50" w:firstLine="130"/>
              <w:jc w:val="left"/>
              <w:rPr>
                <w:rFonts w:ascii="Calibri" w:hAnsi="Calibri" w:cs="Calibri"/>
                <w:sz w:val="26"/>
                <w:szCs w:val="26"/>
              </w:rPr>
            </w:pPr>
          </w:p>
        </w:tc>
      </w:tr>
    </w:tbl>
    <w:p w:rsidR="00BF4A5A" w:rsidRPr="00327F64" w:rsidRDefault="00BF4A5A" w:rsidP="00327F64">
      <w:pPr>
        <w:rPr>
          <w:rFonts w:ascii="Calibri" w:hAnsi="Calibri" w:cs="Calibri" w:hint="eastAsia"/>
          <w:sz w:val="26"/>
          <w:szCs w:val="26"/>
        </w:rPr>
      </w:pPr>
    </w:p>
    <w:sectPr w:rsidR="00BF4A5A" w:rsidRPr="00327F64">
      <w:footerReference w:type="default" r:id="rId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7FA" w:rsidRDefault="001917FA" w:rsidP="00ED52A6">
      <w:pPr>
        <w:spacing w:after="0" w:line="240" w:lineRule="auto"/>
      </w:pPr>
      <w:r>
        <w:separator/>
      </w:r>
    </w:p>
  </w:endnote>
  <w:endnote w:type="continuationSeparator" w:id="0">
    <w:p w:rsidR="001917FA" w:rsidRDefault="001917FA" w:rsidP="00ED5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Y헤드라인M">
    <w:panose1 w:val="02030600000101010101"/>
    <w:charset w:val="81"/>
    <w:family w:val="roman"/>
    <w:pitch w:val="variable"/>
    <w:sig w:usb0="900002A7" w:usb1="09D77CF9"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9742121"/>
      <w:docPartObj>
        <w:docPartGallery w:val="Page Numbers (Bottom of Page)"/>
        <w:docPartUnique/>
      </w:docPartObj>
    </w:sdtPr>
    <w:sdtEndPr/>
    <w:sdtContent>
      <w:p w:rsidR="00ED52A6" w:rsidRDefault="00ED52A6" w:rsidP="00ED52A6">
        <w:pPr>
          <w:pStyle w:val="a6"/>
          <w:jc w:val="center"/>
        </w:pPr>
        <w:r>
          <w:fldChar w:fldCharType="begin"/>
        </w:r>
        <w:r>
          <w:instrText>PAGE   \* MERGEFORMAT</w:instrText>
        </w:r>
        <w:r>
          <w:fldChar w:fldCharType="separate"/>
        </w:r>
        <w:r w:rsidR="005D2537" w:rsidRPr="005D2537">
          <w:rPr>
            <w:noProof/>
            <w:lang w:val="ko-KR"/>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7FA" w:rsidRDefault="001917FA" w:rsidP="00ED52A6">
      <w:pPr>
        <w:spacing w:after="0" w:line="240" w:lineRule="auto"/>
      </w:pPr>
      <w:r>
        <w:separator/>
      </w:r>
    </w:p>
  </w:footnote>
  <w:footnote w:type="continuationSeparator" w:id="0">
    <w:p w:rsidR="001917FA" w:rsidRDefault="001917FA" w:rsidP="00ED52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E25742"/>
    <w:multiLevelType w:val="hybridMultilevel"/>
    <w:tmpl w:val="2AE02BA0"/>
    <w:lvl w:ilvl="0" w:tplc="7ABCDC6E">
      <w:numFmt w:val="bullet"/>
      <w:lvlText w:val="•"/>
      <w:lvlJc w:val="left"/>
      <w:pPr>
        <w:ind w:left="760" w:hanging="360"/>
      </w:pPr>
      <w:rPr>
        <w:rFonts w:ascii="맑은 고딕" w:eastAsia="맑은 고딕" w:hAnsi="맑은 고딕" w:cs="Calibr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3CED0F0C"/>
    <w:multiLevelType w:val="hybridMultilevel"/>
    <w:tmpl w:val="EA44E680"/>
    <w:lvl w:ilvl="0" w:tplc="2778A2E8">
      <w:start w:val="1"/>
      <w:numFmt w:val="bullet"/>
      <w:lvlText w:val="•"/>
      <w:lvlJc w:val="left"/>
      <w:pPr>
        <w:ind w:left="800" w:hanging="400"/>
      </w:pPr>
      <w:rPr>
        <w:rFonts w:ascii="Times New Roman" w:eastAsia="맑은 고딕" w:hAnsi="Times New Roman" w:cs="Times New Roman" w:hint="default"/>
        <w:kern w:val="65534"/>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623"/>
    <w:rsid w:val="00117335"/>
    <w:rsid w:val="001917FA"/>
    <w:rsid w:val="001E3F0F"/>
    <w:rsid w:val="00204710"/>
    <w:rsid w:val="0024137B"/>
    <w:rsid w:val="002550A8"/>
    <w:rsid w:val="00323C0F"/>
    <w:rsid w:val="00327F64"/>
    <w:rsid w:val="00407F2A"/>
    <w:rsid w:val="004A5623"/>
    <w:rsid w:val="005354F5"/>
    <w:rsid w:val="005D2537"/>
    <w:rsid w:val="005D5CA5"/>
    <w:rsid w:val="008E6399"/>
    <w:rsid w:val="009C24DC"/>
    <w:rsid w:val="00A15E77"/>
    <w:rsid w:val="00AD4E89"/>
    <w:rsid w:val="00BF4A5A"/>
    <w:rsid w:val="00DE04B5"/>
    <w:rsid w:val="00ED52A6"/>
    <w:rsid w:val="00F416A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7C7A0"/>
  <w15:chartTrackingRefBased/>
  <w15:docId w15:val="{E5CB4088-94D2-484D-9D45-F84B4B223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C0F"/>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3C0F"/>
    <w:pPr>
      <w:ind w:leftChars="400" w:left="800"/>
    </w:pPr>
  </w:style>
  <w:style w:type="table" w:styleId="a4">
    <w:name w:val="Table Grid"/>
    <w:basedOn w:val="a1"/>
    <w:uiPriority w:val="39"/>
    <w:rsid w:val="00323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
    <w:uiPriority w:val="99"/>
    <w:unhideWhenUsed/>
    <w:rsid w:val="00ED52A6"/>
    <w:pPr>
      <w:tabs>
        <w:tab w:val="center" w:pos="4513"/>
        <w:tab w:val="right" w:pos="9026"/>
      </w:tabs>
      <w:snapToGrid w:val="0"/>
    </w:pPr>
  </w:style>
  <w:style w:type="character" w:customStyle="1" w:styleId="Char">
    <w:name w:val="머리글 Char"/>
    <w:basedOn w:val="a0"/>
    <w:link w:val="a5"/>
    <w:uiPriority w:val="99"/>
    <w:rsid w:val="00ED52A6"/>
  </w:style>
  <w:style w:type="paragraph" w:styleId="a6">
    <w:name w:val="footer"/>
    <w:basedOn w:val="a"/>
    <w:link w:val="Char0"/>
    <w:uiPriority w:val="99"/>
    <w:unhideWhenUsed/>
    <w:rsid w:val="00ED52A6"/>
    <w:pPr>
      <w:tabs>
        <w:tab w:val="center" w:pos="4513"/>
        <w:tab w:val="right" w:pos="9026"/>
      </w:tabs>
      <w:snapToGrid w:val="0"/>
    </w:pPr>
  </w:style>
  <w:style w:type="character" w:customStyle="1" w:styleId="Char0">
    <w:name w:val="바닥글 Char"/>
    <w:basedOn w:val="a0"/>
    <w:link w:val="a6"/>
    <w:uiPriority w:val="99"/>
    <w:rsid w:val="00ED52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6F08B8-A2F2-47CC-B037-3C5C9BACC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Pages>
  <Words>736</Words>
  <Characters>4201</Characters>
  <Application>Microsoft Office Word</Application>
  <DocSecurity>0</DocSecurity>
  <Lines>35</Lines>
  <Paragraphs>9</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13</cp:revision>
  <dcterms:created xsi:type="dcterms:W3CDTF">2025-10-22T02:10:00Z</dcterms:created>
  <dcterms:modified xsi:type="dcterms:W3CDTF">2026-10-23T05:15:00Z</dcterms:modified>
</cp:coreProperties>
</file>