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66" w:rsidRPr="00BF4A5A" w:rsidRDefault="00323C0F" w:rsidP="00BF4A5A">
      <w:pPr>
        <w:spacing w:line="360" w:lineRule="auto"/>
        <w:jc w:val="center"/>
        <w:rPr>
          <w:rFonts w:ascii="HY헤드라인M" w:eastAsia="HY헤드라인M" w:hAnsi="Calibri" w:cs="Calibri" w:hint="eastAsia"/>
          <w:b/>
          <w:sz w:val="34"/>
          <w:szCs w:val="34"/>
        </w:rPr>
      </w:pPr>
      <w:r w:rsidRPr="00BF4A5A">
        <w:rPr>
          <w:rFonts w:ascii="HY헤드라인M" w:eastAsia="HY헤드라인M" w:hAnsi="Calibri" w:cs="Calibri" w:hint="eastAsia"/>
          <w:b/>
          <w:sz w:val="34"/>
          <w:szCs w:val="34"/>
        </w:rPr>
        <w:t>Research Topics</w:t>
      </w:r>
      <w:r w:rsidR="00BF4A5A" w:rsidRPr="00BF4A5A">
        <w:rPr>
          <w:rFonts w:ascii="HY헤드라인M" w:eastAsia="HY헤드라인M" w:hAnsi="Calibri" w:cs="Calibri" w:hint="eastAsia"/>
          <w:b/>
          <w:sz w:val="34"/>
          <w:szCs w:val="34"/>
        </w:rPr>
        <w:t xml:space="preserve"> for</w:t>
      </w:r>
      <w:r w:rsidR="00BF4A5A">
        <w:rPr>
          <w:rFonts w:ascii="HY헤드라인M" w:eastAsia="HY헤드라인M" w:hAnsi="Calibri" w:cs="Calibri"/>
          <w:b/>
          <w:sz w:val="34"/>
          <w:szCs w:val="34"/>
        </w:rPr>
        <w:br/>
      </w:r>
      <w:r w:rsidR="00BF4A5A" w:rsidRPr="00BF4A5A">
        <w:rPr>
          <w:rFonts w:ascii="HY헤드라인M" w:eastAsia="HY헤드라인M" w:hAnsi="Calibri" w:cs="Calibri" w:hint="eastAsia"/>
          <w:b/>
          <w:sz w:val="34"/>
          <w:szCs w:val="34"/>
        </w:rPr>
        <w:t>the BK21</w:t>
      </w:r>
      <w:r w:rsidR="00BF4A5A" w:rsidRPr="00BF4A5A">
        <w:rPr>
          <w:rFonts w:ascii="바탕" w:eastAsia="바탕" w:hAnsi="바탕" w:cs="바탕" w:hint="eastAsia"/>
          <w:b/>
          <w:sz w:val="34"/>
          <w:szCs w:val="34"/>
        </w:rPr>
        <w:t>–</w:t>
      </w:r>
      <w:r w:rsidR="00BF4A5A" w:rsidRPr="00BF4A5A">
        <w:rPr>
          <w:rFonts w:ascii="HY헤드라인M" w:eastAsia="HY헤드라인M" w:hAnsi="Calibri" w:cs="Calibri" w:hint="eastAsia"/>
          <w:b/>
          <w:sz w:val="34"/>
          <w:szCs w:val="34"/>
        </w:rPr>
        <w:t>KOICA GLOCOM Project (Spring 2026)</w:t>
      </w:r>
      <w:bookmarkStart w:id="0" w:name="_GoBack"/>
      <w:bookmarkEnd w:id="0"/>
    </w:p>
    <w:p w:rsidR="00323C0F" w:rsidRDefault="00323C0F">
      <w:pPr>
        <w:rPr>
          <w:rFonts w:ascii="Calibri" w:hAnsi="Calibri" w:cs="Calibri"/>
        </w:rPr>
      </w:pPr>
    </w:p>
    <w:p w:rsidR="00323C0F" w:rsidRPr="00ED52A6" w:rsidRDefault="00323C0F">
      <w:pPr>
        <w:rPr>
          <w:rFonts w:ascii="Calibri" w:hAnsi="Calibri" w:cs="Calibri"/>
          <w:sz w:val="10"/>
          <w:szCs w:val="10"/>
        </w:rPr>
      </w:pPr>
    </w:p>
    <w:p w:rsidR="0024137B" w:rsidRPr="00BF4A5A" w:rsidRDefault="00BF4A5A">
      <w:pPr>
        <w:rPr>
          <w:rFonts w:ascii="Calibri" w:hAnsi="Calibri" w:cs="Calibri" w:hint="eastAsia"/>
          <w:b/>
          <w:sz w:val="26"/>
          <w:szCs w:val="26"/>
        </w:rPr>
      </w:pPr>
      <w:r w:rsidRPr="00BF4A5A">
        <w:rPr>
          <w:rFonts w:ascii="Calibri" w:hAnsi="Calibri" w:cs="Calibri"/>
          <w:b/>
          <w:sz w:val="26"/>
          <w:szCs w:val="26"/>
        </w:rPr>
        <w:t>[</w:t>
      </w:r>
      <w:r w:rsidRPr="00BF4A5A">
        <w:rPr>
          <w:rFonts w:ascii="Calibri" w:hAnsi="Calibri" w:cs="Calibri" w:hint="eastAsia"/>
          <w:b/>
          <w:sz w:val="26"/>
          <w:szCs w:val="26"/>
        </w:rPr>
        <w:t>O</w:t>
      </w:r>
      <w:r w:rsidRPr="00BF4A5A">
        <w:rPr>
          <w:rFonts w:ascii="Calibri" w:hAnsi="Calibri" w:cs="Calibri"/>
          <w:b/>
          <w:sz w:val="26"/>
          <w:szCs w:val="26"/>
        </w:rPr>
        <w:t>ption 1: Liberia] Post-Conflict State Building and Sustainable Peace: Lessons from Liberia’s Governance and Security Reforms</w:t>
      </w:r>
    </w:p>
    <w:tbl>
      <w:tblPr>
        <w:tblStyle w:val="a4"/>
        <w:tblW w:w="0" w:type="auto"/>
        <w:tblBorders>
          <w:insideH w:val="dotted" w:sz="4" w:space="0" w:color="auto"/>
        </w:tblBorders>
        <w:tblLook w:val="04A0" w:firstRow="1" w:lastRow="0" w:firstColumn="1" w:lastColumn="0" w:noHBand="0" w:noVBand="1"/>
      </w:tblPr>
      <w:tblGrid>
        <w:gridCol w:w="9016"/>
      </w:tblGrid>
      <w:tr w:rsidR="0024137B" w:rsidRPr="00BF4A5A" w:rsidTr="005354F5">
        <w:tc>
          <w:tcPr>
            <w:tcW w:w="9016" w:type="dxa"/>
            <w:tcBorders>
              <w:top w:val="single" w:sz="4" w:space="0" w:color="auto"/>
              <w:bottom w:val="dotted" w:sz="4" w:space="0" w:color="auto"/>
            </w:tcBorders>
            <w:shd w:val="clear" w:color="auto" w:fill="F2F2F2" w:themeFill="background1" w:themeFillShade="F2"/>
          </w:tcPr>
          <w:p w:rsidR="0024137B" w:rsidRPr="0024137B" w:rsidRDefault="0024137B" w:rsidP="00BF4A5A">
            <w:pPr>
              <w:jc w:val="left"/>
              <w:rPr>
                <w:rFonts w:ascii="Calibri" w:hAnsi="Calibri" w:cs="Calibri" w:hint="eastAsia"/>
                <w:b/>
                <w:sz w:val="26"/>
                <w:szCs w:val="26"/>
              </w:rPr>
            </w:pPr>
            <w:r w:rsidRPr="0024137B">
              <w:rPr>
                <w:rFonts w:ascii="Calibri" w:hAnsi="Calibri" w:cs="Calibri" w:hint="eastAsia"/>
                <w:b/>
                <w:sz w:val="26"/>
                <w:szCs w:val="26"/>
              </w:rPr>
              <w:t>&lt;</w:t>
            </w:r>
            <w:r w:rsidRPr="0024137B">
              <w:rPr>
                <w:rFonts w:ascii="Calibri" w:hAnsi="Calibri" w:cs="Calibri"/>
                <w:b/>
                <w:sz w:val="26"/>
                <w:szCs w:val="26"/>
              </w:rPr>
              <w:t>Research topic description</w:t>
            </w:r>
            <w:r w:rsidRPr="0024137B">
              <w:rPr>
                <w:rFonts w:ascii="Calibri" w:hAnsi="Calibri" w:cs="Calibri" w:hint="eastAsia"/>
                <w:b/>
                <w:sz w:val="26"/>
                <w:szCs w:val="26"/>
              </w:rPr>
              <w:t>&gt;</w:t>
            </w:r>
          </w:p>
        </w:tc>
      </w:tr>
      <w:tr w:rsidR="00323C0F" w:rsidRPr="00BF4A5A" w:rsidTr="005354F5">
        <w:tc>
          <w:tcPr>
            <w:tcW w:w="9016" w:type="dxa"/>
            <w:tcBorders>
              <w:top w:val="dotted" w:sz="4" w:space="0" w:color="auto"/>
            </w:tcBorders>
          </w:tcPr>
          <w:p w:rsidR="0024137B" w:rsidRPr="0024137B" w:rsidRDefault="0024137B" w:rsidP="00BF4A5A">
            <w:pPr>
              <w:jc w:val="left"/>
              <w:rPr>
                <w:rFonts w:ascii="Calibri" w:hAnsi="Calibri" w:cs="Calibri"/>
                <w:sz w:val="10"/>
                <w:szCs w:val="10"/>
              </w:rPr>
            </w:pPr>
          </w:p>
          <w:p w:rsidR="00407F2A" w:rsidRDefault="00407F2A" w:rsidP="005D5CA5">
            <w:pPr>
              <w:ind w:firstLineChars="50" w:firstLine="130"/>
              <w:jc w:val="left"/>
              <w:rPr>
                <w:rFonts w:ascii="Calibri" w:hAnsi="Calibri" w:cs="Calibri"/>
                <w:sz w:val="26"/>
                <w:szCs w:val="26"/>
              </w:rPr>
            </w:pPr>
            <w:r w:rsidRPr="00407F2A">
              <w:rPr>
                <w:rFonts w:ascii="Calibri" w:hAnsi="Calibri" w:cs="Calibri"/>
                <w:sz w:val="26"/>
                <w:szCs w:val="26"/>
              </w:rPr>
              <w:t>Liberia’s transition from civil conflict to relative political stability offers an important case for understanding post-conflict state building and peace consolidation. Since the end of its civil war, the country has implemented significant governance and security reforms, supported by international actors such as the United Nations and regional organizations.</w:t>
            </w:r>
          </w:p>
          <w:p w:rsidR="00407F2A" w:rsidRPr="00407F2A" w:rsidRDefault="00407F2A" w:rsidP="00407F2A">
            <w:pPr>
              <w:jc w:val="left"/>
              <w:rPr>
                <w:rFonts w:ascii="Calibri" w:hAnsi="Calibri" w:cs="Calibri"/>
                <w:sz w:val="10"/>
                <w:szCs w:val="10"/>
              </w:rPr>
            </w:pPr>
          </w:p>
          <w:p w:rsidR="00323C0F" w:rsidRPr="00BF4A5A" w:rsidRDefault="00407F2A" w:rsidP="005D5CA5">
            <w:pPr>
              <w:spacing w:after="160" w:line="259" w:lineRule="auto"/>
              <w:ind w:firstLineChars="50" w:firstLine="130"/>
              <w:jc w:val="left"/>
              <w:rPr>
                <w:rFonts w:ascii="Calibri" w:hAnsi="Calibri" w:cs="Calibri"/>
                <w:sz w:val="26"/>
                <w:szCs w:val="26"/>
              </w:rPr>
            </w:pPr>
            <w:r w:rsidRPr="00407F2A">
              <w:rPr>
                <w:rFonts w:ascii="Calibri" w:hAnsi="Calibri" w:cs="Calibri"/>
                <w:sz w:val="26"/>
                <w:szCs w:val="26"/>
              </w:rPr>
              <w:t>This topic is motivated by my interest in how international political cooperation contributes to long-term peace and institutional development. The study will assess the effectiveness of these reforms in strengthening state institutions, maintaining security, and preventing a relapse into conflict. It will also explore ongoing challenges, including youth unemployment, political trust, and institutional capacity. By analyzing Liberia’s experience, the research aims to identify key factors that support sustainable peace in post-conflict societies and provide lessons for other countries facing or potentially facing similar challenges.</w:t>
            </w:r>
          </w:p>
        </w:tc>
      </w:tr>
    </w:tbl>
    <w:p w:rsidR="00323C0F" w:rsidRPr="00BF4A5A" w:rsidRDefault="00323C0F" w:rsidP="00BF4A5A">
      <w:pPr>
        <w:rPr>
          <w:rFonts w:ascii="Calibri" w:hAnsi="Calibri" w:cs="Calibri"/>
          <w:sz w:val="26"/>
          <w:szCs w:val="26"/>
        </w:rPr>
      </w:pPr>
    </w:p>
    <w:p w:rsidR="0024137B" w:rsidRPr="0024137B" w:rsidRDefault="00BF4A5A" w:rsidP="0024137B">
      <w:pPr>
        <w:rPr>
          <w:rFonts w:ascii="Calibri" w:hAnsi="Calibri" w:cs="Calibri" w:hint="eastAsia"/>
          <w:b/>
          <w:sz w:val="26"/>
          <w:szCs w:val="26"/>
        </w:rPr>
      </w:pPr>
      <w:r w:rsidRPr="00BF4A5A">
        <w:rPr>
          <w:rFonts w:ascii="Calibri" w:hAnsi="Calibri" w:cs="Calibri"/>
          <w:b/>
          <w:sz w:val="26"/>
          <w:szCs w:val="26"/>
        </w:rPr>
        <w:t>[</w:t>
      </w:r>
      <w:r w:rsidRPr="00BF4A5A">
        <w:rPr>
          <w:rFonts w:ascii="Calibri" w:hAnsi="Calibri" w:cs="Calibri" w:hint="eastAsia"/>
          <w:b/>
          <w:sz w:val="26"/>
          <w:szCs w:val="26"/>
        </w:rPr>
        <w:t>O</w:t>
      </w:r>
      <w:r w:rsidRPr="00BF4A5A">
        <w:rPr>
          <w:rFonts w:ascii="Calibri" w:hAnsi="Calibri" w:cs="Calibri"/>
          <w:b/>
          <w:sz w:val="26"/>
          <w:szCs w:val="26"/>
        </w:rPr>
        <w:t xml:space="preserve">ption </w:t>
      </w:r>
      <w:r w:rsidRPr="00BF4A5A">
        <w:rPr>
          <w:rFonts w:ascii="Calibri" w:hAnsi="Calibri" w:cs="Calibri"/>
          <w:b/>
          <w:sz w:val="26"/>
          <w:szCs w:val="26"/>
        </w:rPr>
        <w:t>2</w:t>
      </w:r>
      <w:r w:rsidRPr="00BF4A5A">
        <w:rPr>
          <w:rFonts w:ascii="Calibri" w:hAnsi="Calibri" w:cs="Calibri"/>
          <w:b/>
          <w:sz w:val="26"/>
          <w:szCs w:val="26"/>
        </w:rPr>
        <w:t xml:space="preserve">: </w:t>
      </w:r>
      <w:r w:rsidRPr="00BF4A5A">
        <w:rPr>
          <w:rFonts w:ascii="Calibri" w:hAnsi="Calibri" w:cs="Calibri"/>
          <w:b/>
          <w:sz w:val="26"/>
          <w:szCs w:val="26"/>
        </w:rPr>
        <w:t>Cameroon] Effectiveness of Official Development Assistance (ODA) in Supporting Cameroon’s National Development Strategy 2030</w:t>
      </w:r>
    </w:p>
    <w:tbl>
      <w:tblPr>
        <w:tblStyle w:val="a4"/>
        <w:tblW w:w="0" w:type="auto"/>
        <w:tblBorders>
          <w:insideH w:val="dotted" w:sz="4" w:space="0" w:color="auto"/>
        </w:tblBorders>
        <w:tblLook w:val="04A0" w:firstRow="1" w:lastRow="0" w:firstColumn="1" w:lastColumn="0" w:noHBand="0" w:noVBand="1"/>
      </w:tblPr>
      <w:tblGrid>
        <w:gridCol w:w="9016"/>
      </w:tblGrid>
      <w:tr w:rsidR="0024137B" w:rsidRPr="00BF4A5A" w:rsidTr="005354F5">
        <w:tc>
          <w:tcPr>
            <w:tcW w:w="9016" w:type="dxa"/>
            <w:tcBorders>
              <w:top w:val="single" w:sz="4" w:space="0" w:color="auto"/>
              <w:bottom w:val="dotted" w:sz="4" w:space="0" w:color="auto"/>
            </w:tcBorders>
            <w:shd w:val="clear" w:color="auto" w:fill="F2F2F2" w:themeFill="background1" w:themeFillShade="F2"/>
          </w:tcPr>
          <w:p w:rsidR="0024137B" w:rsidRPr="0024137B" w:rsidRDefault="0024137B" w:rsidP="00250C60">
            <w:pPr>
              <w:jc w:val="left"/>
              <w:rPr>
                <w:rFonts w:ascii="Calibri" w:hAnsi="Calibri" w:cs="Calibri" w:hint="eastAsia"/>
                <w:b/>
                <w:sz w:val="26"/>
                <w:szCs w:val="26"/>
              </w:rPr>
            </w:pPr>
            <w:r w:rsidRPr="0024137B">
              <w:rPr>
                <w:rFonts w:ascii="Calibri" w:hAnsi="Calibri" w:cs="Calibri" w:hint="eastAsia"/>
                <w:b/>
                <w:sz w:val="26"/>
                <w:szCs w:val="26"/>
              </w:rPr>
              <w:t>&lt;</w:t>
            </w:r>
            <w:r w:rsidRPr="0024137B">
              <w:rPr>
                <w:rFonts w:ascii="Calibri" w:hAnsi="Calibri" w:cs="Calibri"/>
                <w:b/>
                <w:sz w:val="26"/>
                <w:szCs w:val="26"/>
              </w:rPr>
              <w:t>Research topic description</w:t>
            </w:r>
            <w:r w:rsidRPr="0024137B">
              <w:rPr>
                <w:rFonts w:ascii="Calibri" w:hAnsi="Calibri" w:cs="Calibri" w:hint="eastAsia"/>
                <w:b/>
                <w:sz w:val="26"/>
                <w:szCs w:val="26"/>
              </w:rPr>
              <w:t>&gt;</w:t>
            </w:r>
          </w:p>
        </w:tc>
      </w:tr>
      <w:tr w:rsidR="0024137B" w:rsidRPr="00BF4A5A" w:rsidTr="005354F5">
        <w:tc>
          <w:tcPr>
            <w:tcW w:w="9016" w:type="dxa"/>
            <w:tcBorders>
              <w:top w:val="dotted" w:sz="4" w:space="0" w:color="auto"/>
            </w:tcBorders>
          </w:tcPr>
          <w:p w:rsidR="0024137B" w:rsidRPr="0024137B" w:rsidRDefault="0024137B" w:rsidP="00250C60">
            <w:pPr>
              <w:jc w:val="left"/>
              <w:rPr>
                <w:rFonts w:ascii="Calibri" w:hAnsi="Calibri" w:cs="Calibri"/>
                <w:sz w:val="10"/>
                <w:szCs w:val="10"/>
              </w:rPr>
            </w:pPr>
          </w:p>
          <w:p w:rsidR="00DE04B5" w:rsidRPr="00DE04B5" w:rsidRDefault="00DE04B5" w:rsidP="00DE04B5">
            <w:pPr>
              <w:ind w:firstLineChars="50" w:firstLine="130"/>
              <w:jc w:val="left"/>
              <w:rPr>
                <w:rFonts w:ascii="Calibri" w:hAnsi="Calibri" w:cs="Calibri"/>
                <w:sz w:val="26"/>
                <w:szCs w:val="26"/>
              </w:rPr>
            </w:pPr>
            <w:r w:rsidRPr="00DE04B5">
              <w:rPr>
                <w:rFonts w:ascii="Calibri" w:hAnsi="Calibri" w:cs="Calibri"/>
                <w:sz w:val="26"/>
                <w:szCs w:val="26"/>
              </w:rPr>
              <w:t>Over the past two decades, Cameroon has relied heavily on international development cooperation to finance public investment, alleviate poverty, and strengthen key social sectors such as health, education, and infrastructure. Official Development Assistance (ODA) has therefore played a central role in supporting the country’s development trajectory, particularly in the context of fiscal constraints, security challenges, and limited domestic resource mobilization. In response to persistent structural weaknesses, the Government of Cameroon adopted the National Development Strategy 2030 (NDS30), which aims to promote inclusive growth, industrialization, and social cohesion while accelerating progress toward the Sustainable Development Goals.</w:t>
            </w:r>
          </w:p>
          <w:p w:rsidR="00DE04B5" w:rsidRPr="00DE04B5" w:rsidRDefault="00DE04B5" w:rsidP="00DE04B5">
            <w:pPr>
              <w:jc w:val="left"/>
              <w:rPr>
                <w:rFonts w:ascii="Calibri" w:hAnsi="Calibri" w:cs="Calibri"/>
                <w:sz w:val="10"/>
                <w:szCs w:val="10"/>
              </w:rPr>
            </w:pPr>
          </w:p>
          <w:p w:rsidR="0024137B" w:rsidRPr="00DE04B5" w:rsidRDefault="00DE04B5" w:rsidP="00DE04B5">
            <w:pPr>
              <w:jc w:val="left"/>
              <w:rPr>
                <w:rFonts w:ascii="Calibri" w:hAnsi="Calibri" w:cs="Calibri" w:hint="eastAsia"/>
                <w:sz w:val="26"/>
                <w:szCs w:val="26"/>
              </w:rPr>
            </w:pPr>
            <w:r w:rsidRPr="00DE04B5">
              <w:rPr>
                <w:rFonts w:ascii="Calibri" w:hAnsi="Calibri" w:cs="Calibri"/>
                <w:sz w:val="26"/>
                <w:szCs w:val="26"/>
              </w:rPr>
              <w:t xml:space="preserve"> Despite sustained aid inflows from multilateral and bilateral partners, questions </w:t>
            </w:r>
            <w:r w:rsidRPr="00DE04B5">
              <w:rPr>
                <w:rFonts w:ascii="Calibri" w:hAnsi="Calibri" w:cs="Calibri"/>
                <w:sz w:val="26"/>
                <w:szCs w:val="26"/>
              </w:rPr>
              <w:lastRenderedPageBreak/>
              <w:t>remain regarding the effectiveness of ODA in delivering tangible development outcomes and its alignment with national priorities. Donor fragmentation, governance constraints, and insecurity in certain regions may limit the impact of external assistance. At the same time, international partners increasingly emphasize results-based financing, accountability, and alignment with national strategies. Against this backdrop, examining how ODA supports, or fails to support the objectives of the NDS30 are important for policy learning. This topic is motivated by the need to assess whether international development cooperation in Cameroon translates into measurable progress at the sectoral and national levels, and how aid effectiveness can be improved to better support long</w:t>
            </w:r>
            <w:r>
              <w:rPr>
                <w:rFonts w:ascii="Calibri" w:hAnsi="Calibri" w:cs="Calibri"/>
                <w:sz w:val="26"/>
                <w:szCs w:val="26"/>
              </w:rPr>
              <w:t>-term, sustainable development.</w:t>
            </w:r>
          </w:p>
        </w:tc>
      </w:tr>
    </w:tbl>
    <w:p w:rsidR="0024137B" w:rsidRPr="00BF4A5A" w:rsidRDefault="0024137B" w:rsidP="0024137B">
      <w:pPr>
        <w:rPr>
          <w:rFonts w:ascii="Calibri" w:hAnsi="Calibri" w:cs="Calibri"/>
          <w:sz w:val="26"/>
          <w:szCs w:val="26"/>
        </w:rPr>
      </w:pPr>
    </w:p>
    <w:p w:rsidR="0024137B" w:rsidRPr="0024137B" w:rsidRDefault="00BF4A5A" w:rsidP="0024137B">
      <w:pPr>
        <w:rPr>
          <w:rFonts w:ascii="Calibri" w:hAnsi="Calibri" w:cs="Calibri" w:hint="eastAsia"/>
          <w:b/>
          <w:sz w:val="26"/>
          <w:szCs w:val="26"/>
        </w:rPr>
      </w:pPr>
      <w:r w:rsidRPr="00BF4A5A">
        <w:rPr>
          <w:rFonts w:ascii="Calibri" w:hAnsi="Calibri" w:cs="Calibri"/>
          <w:b/>
          <w:sz w:val="26"/>
          <w:szCs w:val="26"/>
        </w:rPr>
        <w:t>[</w:t>
      </w:r>
      <w:r w:rsidRPr="00BF4A5A">
        <w:rPr>
          <w:rFonts w:ascii="Calibri" w:hAnsi="Calibri" w:cs="Calibri" w:hint="eastAsia"/>
          <w:b/>
          <w:sz w:val="26"/>
          <w:szCs w:val="26"/>
        </w:rPr>
        <w:t>O</w:t>
      </w:r>
      <w:r w:rsidRPr="00BF4A5A">
        <w:rPr>
          <w:rFonts w:ascii="Calibri" w:hAnsi="Calibri" w:cs="Calibri"/>
          <w:b/>
          <w:sz w:val="26"/>
          <w:szCs w:val="26"/>
        </w:rPr>
        <w:t xml:space="preserve">ption </w:t>
      </w:r>
      <w:r w:rsidRPr="00BF4A5A">
        <w:rPr>
          <w:rFonts w:ascii="Calibri" w:hAnsi="Calibri" w:cs="Calibri"/>
          <w:b/>
          <w:sz w:val="26"/>
          <w:szCs w:val="26"/>
        </w:rPr>
        <w:t>3</w:t>
      </w:r>
      <w:r w:rsidRPr="00BF4A5A">
        <w:rPr>
          <w:rFonts w:ascii="Calibri" w:hAnsi="Calibri" w:cs="Calibri"/>
          <w:b/>
          <w:sz w:val="26"/>
          <w:szCs w:val="26"/>
        </w:rPr>
        <w:t xml:space="preserve">: </w:t>
      </w:r>
      <w:r w:rsidRPr="00BF4A5A">
        <w:rPr>
          <w:rFonts w:ascii="Calibri" w:hAnsi="Calibri" w:cs="Calibri"/>
          <w:b/>
          <w:sz w:val="26"/>
          <w:szCs w:val="26"/>
        </w:rPr>
        <w:t>Indonesia] Indonesia’s Dual Diplomacy and National Sovereignty in a Changing Geopolitical Environment</w:t>
      </w:r>
    </w:p>
    <w:tbl>
      <w:tblPr>
        <w:tblStyle w:val="a4"/>
        <w:tblW w:w="0" w:type="auto"/>
        <w:tblBorders>
          <w:insideH w:val="dotted" w:sz="4" w:space="0" w:color="auto"/>
        </w:tblBorders>
        <w:tblLook w:val="04A0" w:firstRow="1" w:lastRow="0" w:firstColumn="1" w:lastColumn="0" w:noHBand="0" w:noVBand="1"/>
      </w:tblPr>
      <w:tblGrid>
        <w:gridCol w:w="9016"/>
      </w:tblGrid>
      <w:tr w:rsidR="0024137B" w:rsidRPr="00BF4A5A" w:rsidTr="005354F5">
        <w:tc>
          <w:tcPr>
            <w:tcW w:w="9016" w:type="dxa"/>
            <w:tcBorders>
              <w:top w:val="single" w:sz="4" w:space="0" w:color="auto"/>
              <w:bottom w:val="dotted" w:sz="4" w:space="0" w:color="auto"/>
            </w:tcBorders>
            <w:shd w:val="clear" w:color="auto" w:fill="F2F2F2" w:themeFill="background1" w:themeFillShade="F2"/>
          </w:tcPr>
          <w:p w:rsidR="0024137B" w:rsidRPr="0024137B" w:rsidRDefault="0024137B" w:rsidP="00250C60">
            <w:pPr>
              <w:jc w:val="left"/>
              <w:rPr>
                <w:rFonts w:ascii="Calibri" w:hAnsi="Calibri" w:cs="Calibri" w:hint="eastAsia"/>
                <w:b/>
                <w:sz w:val="26"/>
                <w:szCs w:val="26"/>
              </w:rPr>
            </w:pPr>
            <w:r w:rsidRPr="0024137B">
              <w:rPr>
                <w:rFonts w:ascii="Calibri" w:hAnsi="Calibri" w:cs="Calibri" w:hint="eastAsia"/>
                <w:b/>
                <w:sz w:val="26"/>
                <w:szCs w:val="26"/>
              </w:rPr>
              <w:t>&lt;</w:t>
            </w:r>
            <w:r w:rsidRPr="0024137B">
              <w:rPr>
                <w:rFonts w:ascii="Calibri" w:hAnsi="Calibri" w:cs="Calibri"/>
                <w:b/>
                <w:sz w:val="26"/>
                <w:szCs w:val="26"/>
              </w:rPr>
              <w:t>Research topic description</w:t>
            </w:r>
            <w:r w:rsidRPr="0024137B">
              <w:rPr>
                <w:rFonts w:ascii="Calibri" w:hAnsi="Calibri" w:cs="Calibri" w:hint="eastAsia"/>
                <w:b/>
                <w:sz w:val="26"/>
                <w:szCs w:val="26"/>
              </w:rPr>
              <w:t>&gt;</w:t>
            </w:r>
          </w:p>
        </w:tc>
      </w:tr>
      <w:tr w:rsidR="0024137B" w:rsidRPr="00BF4A5A" w:rsidTr="005354F5">
        <w:tc>
          <w:tcPr>
            <w:tcW w:w="9016" w:type="dxa"/>
            <w:tcBorders>
              <w:top w:val="dotted" w:sz="4" w:space="0" w:color="auto"/>
            </w:tcBorders>
          </w:tcPr>
          <w:p w:rsidR="0024137B" w:rsidRPr="0024137B" w:rsidRDefault="0024137B" w:rsidP="00250C60">
            <w:pPr>
              <w:jc w:val="left"/>
              <w:rPr>
                <w:rFonts w:ascii="Calibri" w:hAnsi="Calibri" w:cs="Calibri"/>
                <w:sz w:val="10"/>
                <w:szCs w:val="10"/>
              </w:rPr>
            </w:pPr>
          </w:p>
          <w:p w:rsidR="0024137B" w:rsidRPr="00DE04B5" w:rsidRDefault="00DE04B5" w:rsidP="00DE04B5">
            <w:pPr>
              <w:ind w:firstLineChars="50" w:firstLine="130"/>
              <w:jc w:val="left"/>
              <w:rPr>
                <w:rFonts w:ascii="Calibri" w:hAnsi="Calibri" w:cs="Calibri" w:hint="eastAsia"/>
                <w:sz w:val="26"/>
                <w:szCs w:val="26"/>
              </w:rPr>
            </w:pPr>
            <w:r w:rsidRPr="00DE04B5">
              <w:rPr>
                <w:rFonts w:ascii="Calibri" w:hAnsi="Calibri" w:cs="Calibri"/>
                <w:sz w:val="26"/>
                <w:szCs w:val="26"/>
              </w:rPr>
              <w:t>In recent years, Indonesia has demonstrated a more assertive foreign policy orientation in response to the growing complexity of global geopolitical dynamics. Amid intensifying competition among major powers, Indonesia has continued to expand its diplomatic engagement with diverse international actors through high-level political, strategic, and defense interactions. Recent developments, including the parallel strengthening of Indonesia’s external relations through engagements with different major powers, indicate an increasingly active effort to preserve diplomatic flexibility in an uncertain international environment. This pattern may be understood as dual diplomacy, namely Indonesia’s attempt to maintain broad and balanced relations while upholding its long-standing principle of an independent and active foreign policy. Within this context, the issue becomes particularly significant because it is closely related to the question of national sovereignty. On the one hand, such a strategy may widen Indonesia’s strategic space, enhance its bargaining position, and strengthen its international relevance. On the other hand, it may also generate policy ambiguity, external pressure, and challenges in maintaining a coherent foreign policy posture. Therefore, this issue is compelling because it reflects the ongoing tension between diplomatic activism, strategic autonomy, and the prot</w:t>
            </w:r>
            <w:r>
              <w:rPr>
                <w:rFonts w:ascii="Calibri" w:hAnsi="Calibri" w:cs="Calibri"/>
                <w:sz w:val="26"/>
                <w:szCs w:val="26"/>
              </w:rPr>
              <w:t>ection of national sovereignty.</w:t>
            </w:r>
          </w:p>
        </w:tc>
      </w:tr>
    </w:tbl>
    <w:p w:rsidR="0024137B" w:rsidRPr="00BF4A5A" w:rsidRDefault="0024137B" w:rsidP="0024137B">
      <w:pPr>
        <w:rPr>
          <w:rFonts w:ascii="Calibri" w:hAnsi="Calibri" w:cs="Calibri"/>
          <w:sz w:val="26"/>
          <w:szCs w:val="26"/>
        </w:rPr>
      </w:pPr>
    </w:p>
    <w:p w:rsidR="0024137B" w:rsidRPr="0024137B" w:rsidRDefault="00BF4A5A" w:rsidP="0024137B">
      <w:pPr>
        <w:rPr>
          <w:rFonts w:ascii="Calibri" w:hAnsi="Calibri" w:cs="Calibri" w:hint="eastAsia"/>
          <w:b/>
          <w:sz w:val="26"/>
          <w:szCs w:val="26"/>
        </w:rPr>
      </w:pPr>
      <w:r w:rsidRPr="00BF4A5A">
        <w:rPr>
          <w:rFonts w:ascii="Calibri" w:hAnsi="Calibri" w:cs="Calibri"/>
          <w:b/>
          <w:sz w:val="26"/>
          <w:szCs w:val="26"/>
        </w:rPr>
        <w:t>[</w:t>
      </w:r>
      <w:r w:rsidRPr="00BF4A5A">
        <w:rPr>
          <w:rFonts w:ascii="Calibri" w:hAnsi="Calibri" w:cs="Calibri" w:hint="eastAsia"/>
          <w:b/>
          <w:sz w:val="26"/>
          <w:szCs w:val="26"/>
        </w:rPr>
        <w:t>O</w:t>
      </w:r>
      <w:r w:rsidRPr="00BF4A5A">
        <w:rPr>
          <w:rFonts w:ascii="Calibri" w:hAnsi="Calibri" w:cs="Calibri"/>
          <w:b/>
          <w:sz w:val="26"/>
          <w:szCs w:val="26"/>
        </w:rPr>
        <w:t xml:space="preserve">ption </w:t>
      </w:r>
      <w:r w:rsidRPr="00BF4A5A">
        <w:rPr>
          <w:rFonts w:ascii="Calibri" w:hAnsi="Calibri" w:cs="Calibri"/>
          <w:b/>
          <w:sz w:val="26"/>
          <w:szCs w:val="26"/>
        </w:rPr>
        <w:t>4</w:t>
      </w:r>
      <w:r w:rsidRPr="00BF4A5A">
        <w:rPr>
          <w:rFonts w:ascii="Calibri" w:hAnsi="Calibri" w:cs="Calibri"/>
          <w:b/>
          <w:sz w:val="26"/>
          <w:szCs w:val="26"/>
        </w:rPr>
        <w:t xml:space="preserve">: </w:t>
      </w:r>
      <w:r w:rsidRPr="00BF4A5A">
        <w:rPr>
          <w:rFonts w:ascii="Calibri" w:hAnsi="Calibri" w:cs="Calibri"/>
          <w:b/>
          <w:sz w:val="26"/>
          <w:szCs w:val="26"/>
        </w:rPr>
        <w:t>Kenya] Navigating the African Continental Free Trade Area (</w:t>
      </w:r>
      <w:proofErr w:type="spellStart"/>
      <w:r w:rsidRPr="00BF4A5A">
        <w:rPr>
          <w:rFonts w:ascii="Calibri" w:hAnsi="Calibri" w:cs="Calibri"/>
          <w:b/>
          <w:sz w:val="26"/>
          <w:szCs w:val="26"/>
        </w:rPr>
        <w:t>AfCFTA</w:t>
      </w:r>
      <w:proofErr w:type="spellEnd"/>
      <w:r w:rsidRPr="00BF4A5A">
        <w:rPr>
          <w:rFonts w:ascii="Calibri" w:hAnsi="Calibri" w:cs="Calibri"/>
          <w:b/>
          <w:sz w:val="26"/>
          <w:szCs w:val="26"/>
        </w:rPr>
        <w:t>): Opportunities and Challenges for Kenya’s Agricultural Exports in the Intra-African Market</w:t>
      </w:r>
    </w:p>
    <w:tbl>
      <w:tblPr>
        <w:tblStyle w:val="a4"/>
        <w:tblW w:w="0" w:type="auto"/>
        <w:tblBorders>
          <w:insideH w:val="dotted" w:sz="4" w:space="0" w:color="auto"/>
        </w:tblBorders>
        <w:tblLook w:val="04A0" w:firstRow="1" w:lastRow="0" w:firstColumn="1" w:lastColumn="0" w:noHBand="0" w:noVBand="1"/>
      </w:tblPr>
      <w:tblGrid>
        <w:gridCol w:w="9016"/>
      </w:tblGrid>
      <w:tr w:rsidR="0024137B" w:rsidRPr="00BF4A5A" w:rsidTr="005354F5">
        <w:tc>
          <w:tcPr>
            <w:tcW w:w="9016" w:type="dxa"/>
            <w:tcBorders>
              <w:top w:val="single" w:sz="4" w:space="0" w:color="auto"/>
              <w:bottom w:val="dotted" w:sz="4" w:space="0" w:color="auto"/>
            </w:tcBorders>
            <w:shd w:val="clear" w:color="auto" w:fill="F2F2F2" w:themeFill="background1" w:themeFillShade="F2"/>
          </w:tcPr>
          <w:p w:rsidR="0024137B" w:rsidRPr="0024137B" w:rsidRDefault="0024137B" w:rsidP="00250C60">
            <w:pPr>
              <w:jc w:val="left"/>
              <w:rPr>
                <w:rFonts w:ascii="Calibri" w:hAnsi="Calibri" w:cs="Calibri" w:hint="eastAsia"/>
                <w:b/>
                <w:sz w:val="26"/>
                <w:szCs w:val="26"/>
              </w:rPr>
            </w:pPr>
            <w:r w:rsidRPr="0024137B">
              <w:rPr>
                <w:rFonts w:ascii="Calibri" w:hAnsi="Calibri" w:cs="Calibri" w:hint="eastAsia"/>
                <w:b/>
                <w:sz w:val="26"/>
                <w:szCs w:val="26"/>
              </w:rPr>
              <w:t>&lt;</w:t>
            </w:r>
            <w:r w:rsidRPr="0024137B">
              <w:rPr>
                <w:rFonts w:ascii="Calibri" w:hAnsi="Calibri" w:cs="Calibri"/>
                <w:b/>
                <w:sz w:val="26"/>
                <w:szCs w:val="26"/>
              </w:rPr>
              <w:t>Research topic description</w:t>
            </w:r>
            <w:r w:rsidRPr="0024137B">
              <w:rPr>
                <w:rFonts w:ascii="Calibri" w:hAnsi="Calibri" w:cs="Calibri" w:hint="eastAsia"/>
                <w:b/>
                <w:sz w:val="26"/>
                <w:szCs w:val="26"/>
              </w:rPr>
              <w:t>&gt;</w:t>
            </w:r>
          </w:p>
        </w:tc>
      </w:tr>
      <w:tr w:rsidR="0024137B" w:rsidRPr="00BF4A5A" w:rsidTr="005354F5">
        <w:tc>
          <w:tcPr>
            <w:tcW w:w="9016" w:type="dxa"/>
            <w:tcBorders>
              <w:top w:val="dotted" w:sz="4" w:space="0" w:color="auto"/>
            </w:tcBorders>
          </w:tcPr>
          <w:p w:rsidR="0024137B" w:rsidRPr="0024137B" w:rsidRDefault="0024137B" w:rsidP="00250C60">
            <w:pPr>
              <w:jc w:val="left"/>
              <w:rPr>
                <w:rFonts w:ascii="Calibri" w:hAnsi="Calibri" w:cs="Calibri"/>
                <w:sz w:val="10"/>
                <w:szCs w:val="10"/>
              </w:rPr>
            </w:pPr>
          </w:p>
          <w:p w:rsidR="0024137B" w:rsidRPr="00BF4A5A" w:rsidRDefault="00DE04B5" w:rsidP="00DE04B5">
            <w:pPr>
              <w:spacing w:after="160" w:line="259" w:lineRule="auto"/>
              <w:ind w:firstLineChars="50" w:firstLine="130"/>
              <w:jc w:val="left"/>
              <w:rPr>
                <w:rFonts w:ascii="Calibri" w:hAnsi="Calibri" w:cs="Calibri"/>
                <w:sz w:val="26"/>
                <w:szCs w:val="26"/>
              </w:rPr>
            </w:pPr>
            <w:r w:rsidRPr="00DE04B5">
              <w:rPr>
                <w:rFonts w:ascii="Calibri" w:hAnsi="Calibri" w:cs="Calibri"/>
                <w:sz w:val="26"/>
                <w:szCs w:val="26"/>
              </w:rPr>
              <w:t>The African Continental Free Trade Area (</w:t>
            </w:r>
            <w:proofErr w:type="spellStart"/>
            <w:r w:rsidRPr="00DE04B5">
              <w:rPr>
                <w:rFonts w:ascii="Calibri" w:hAnsi="Calibri" w:cs="Calibri"/>
                <w:sz w:val="26"/>
                <w:szCs w:val="26"/>
              </w:rPr>
              <w:t>AfCFTA</w:t>
            </w:r>
            <w:proofErr w:type="spellEnd"/>
            <w:r w:rsidRPr="00DE04B5">
              <w:rPr>
                <w:rFonts w:ascii="Calibri" w:hAnsi="Calibri" w:cs="Calibri"/>
                <w:sz w:val="26"/>
                <w:szCs w:val="26"/>
              </w:rPr>
              <w:t xml:space="preserve">) is a game-changer for regional </w:t>
            </w:r>
            <w:r w:rsidRPr="00DE04B5">
              <w:rPr>
                <w:rFonts w:ascii="Calibri" w:hAnsi="Calibri" w:cs="Calibri"/>
                <w:sz w:val="26"/>
                <w:szCs w:val="26"/>
              </w:rPr>
              <w:lastRenderedPageBreak/>
              <w:t>commerce. For Kenya, which relies heavily on exports like tea, coffee, and horticultural products, this agreement opens up vast new markets across the continent. This research focuses on how Kenya can overcome non-tariff barriers and infrastructure gaps to fully capitalize on duty-free trade within Africa, shifting focus from traditional Western markets to regional partners.</w:t>
            </w:r>
          </w:p>
        </w:tc>
      </w:tr>
    </w:tbl>
    <w:p w:rsidR="0024137B" w:rsidRPr="00BF4A5A" w:rsidRDefault="0024137B" w:rsidP="0024137B">
      <w:pPr>
        <w:rPr>
          <w:rFonts w:ascii="Calibri" w:hAnsi="Calibri" w:cs="Calibri"/>
          <w:sz w:val="26"/>
          <w:szCs w:val="26"/>
        </w:rPr>
      </w:pPr>
    </w:p>
    <w:p w:rsidR="0024137B" w:rsidRPr="0024137B" w:rsidRDefault="00BF4A5A" w:rsidP="0024137B">
      <w:pPr>
        <w:rPr>
          <w:rFonts w:ascii="Calibri" w:hAnsi="Calibri" w:cs="Calibri" w:hint="eastAsia"/>
          <w:b/>
          <w:sz w:val="26"/>
          <w:szCs w:val="26"/>
        </w:rPr>
      </w:pPr>
      <w:r w:rsidRPr="00BF4A5A">
        <w:rPr>
          <w:rFonts w:ascii="Calibri" w:hAnsi="Calibri" w:cs="Calibri"/>
          <w:b/>
          <w:sz w:val="26"/>
          <w:szCs w:val="26"/>
        </w:rPr>
        <w:t>[</w:t>
      </w:r>
      <w:r w:rsidRPr="00BF4A5A">
        <w:rPr>
          <w:rFonts w:ascii="Calibri" w:hAnsi="Calibri" w:cs="Calibri" w:hint="eastAsia"/>
          <w:b/>
          <w:sz w:val="26"/>
          <w:szCs w:val="26"/>
        </w:rPr>
        <w:t>O</w:t>
      </w:r>
      <w:r w:rsidRPr="00BF4A5A">
        <w:rPr>
          <w:rFonts w:ascii="Calibri" w:hAnsi="Calibri" w:cs="Calibri"/>
          <w:b/>
          <w:sz w:val="26"/>
          <w:szCs w:val="26"/>
        </w:rPr>
        <w:t xml:space="preserve">ption </w:t>
      </w:r>
      <w:r w:rsidRPr="00BF4A5A">
        <w:rPr>
          <w:rFonts w:ascii="Calibri" w:hAnsi="Calibri" w:cs="Calibri"/>
          <w:b/>
          <w:sz w:val="26"/>
          <w:szCs w:val="26"/>
        </w:rPr>
        <w:t>5</w:t>
      </w:r>
      <w:r w:rsidRPr="00BF4A5A">
        <w:rPr>
          <w:rFonts w:ascii="Calibri" w:hAnsi="Calibri" w:cs="Calibri"/>
          <w:b/>
          <w:sz w:val="26"/>
          <w:szCs w:val="26"/>
        </w:rPr>
        <w:t xml:space="preserve">: </w:t>
      </w:r>
      <w:r w:rsidRPr="00BF4A5A">
        <w:rPr>
          <w:rFonts w:ascii="Calibri" w:hAnsi="Calibri" w:cs="Calibri"/>
          <w:b/>
          <w:sz w:val="26"/>
          <w:szCs w:val="26"/>
        </w:rPr>
        <w:t>Mongolia] Assessing the Potential for Export Diversification in Mongolia: A Gravity Model Approach to Reducing Dependency on Mining and Single-Market Trade</w:t>
      </w:r>
    </w:p>
    <w:tbl>
      <w:tblPr>
        <w:tblStyle w:val="a4"/>
        <w:tblW w:w="0" w:type="auto"/>
        <w:tblBorders>
          <w:insideH w:val="dotted" w:sz="4" w:space="0" w:color="auto"/>
        </w:tblBorders>
        <w:tblLook w:val="04A0" w:firstRow="1" w:lastRow="0" w:firstColumn="1" w:lastColumn="0" w:noHBand="0" w:noVBand="1"/>
      </w:tblPr>
      <w:tblGrid>
        <w:gridCol w:w="9016"/>
      </w:tblGrid>
      <w:tr w:rsidR="0024137B" w:rsidRPr="00BF4A5A" w:rsidTr="005354F5">
        <w:tc>
          <w:tcPr>
            <w:tcW w:w="9016" w:type="dxa"/>
            <w:tcBorders>
              <w:top w:val="single" w:sz="4" w:space="0" w:color="auto"/>
              <w:bottom w:val="dotted" w:sz="4" w:space="0" w:color="auto"/>
            </w:tcBorders>
            <w:shd w:val="clear" w:color="auto" w:fill="F2F2F2" w:themeFill="background1" w:themeFillShade="F2"/>
          </w:tcPr>
          <w:p w:rsidR="0024137B" w:rsidRPr="0024137B" w:rsidRDefault="0024137B" w:rsidP="00250C60">
            <w:pPr>
              <w:jc w:val="left"/>
              <w:rPr>
                <w:rFonts w:ascii="Calibri" w:hAnsi="Calibri" w:cs="Calibri" w:hint="eastAsia"/>
                <w:b/>
                <w:sz w:val="26"/>
                <w:szCs w:val="26"/>
              </w:rPr>
            </w:pPr>
            <w:r w:rsidRPr="0024137B">
              <w:rPr>
                <w:rFonts w:ascii="Calibri" w:hAnsi="Calibri" w:cs="Calibri" w:hint="eastAsia"/>
                <w:b/>
                <w:sz w:val="26"/>
                <w:szCs w:val="26"/>
              </w:rPr>
              <w:t>&lt;</w:t>
            </w:r>
            <w:r w:rsidRPr="0024137B">
              <w:rPr>
                <w:rFonts w:ascii="Calibri" w:hAnsi="Calibri" w:cs="Calibri"/>
                <w:b/>
                <w:sz w:val="26"/>
                <w:szCs w:val="26"/>
              </w:rPr>
              <w:t>Research topic description</w:t>
            </w:r>
            <w:r w:rsidRPr="0024137B">
              <w:rPr>
                <w:rFonts w:ascii="Calibri" w:hAnsi="Calibri" w:cs="Calibri" w:hint="eastAsia"/>
                <w:b/>
                <w:sz w:val="26"/>
                <w:szCs w:val="26"/>
              </w:rPr>
              <w:t>&gt;</w:t>
            </w:r>
          </w:p>
        </w:tc>
      </w:tr>
      <w:tr w:rsidR="0024137B" w:rsidRPr="00BF4A5A" w:rsidTr="005354F5">
        <w:tc>
          <w:tcPr>
            <w:tcW w:w="9016" w:type="dxa"/>
            <w:tcBorders>
              <w:top w:val="dotted" w:sz="4" w:space="0" w:color="auto"/>
            </w:tcBorders>
          </w:tcPr>
          <w:p w:rsidR="0024137B" w:rsidRPr="0024137B" w:rsidRDefault="0024137B" w:rsidP="00250C60">
            <w:pPr>
              <w:jc w:val="left"/>
              <w:rPr>
                <w:rFonts w:ascii="Calibri" w:hAnsi="Calibri" w:cs="Calibri"/>
                <w:sz w:val="10"/>
                <w:szCs w:val="10"/>
              </w:rPr>
            </w:pPr>
          </w:p>
          <w:p w:rsidR="00DE04B5" w:rsidRPr="00DE04B5" w:rsidRDefault="00DE04B5" w:rsidP="00DE04B5">
            <w:pPr>
              <w:ind w:firstLineChars="50" w:firstLine="130"/>
              <w:jc w:val="left"/>
              <w:rPr>
                <w:rFonts w:ascii="Calibri" w:hAnsi="Calibri" w:cs="Calibri"/>
                <w:sz w:val="26"/>
                <w:szCs w:val="26"/>
              </w:rPr>
            </w:pPr>
            <w:r w:rsidRPr="00DE04B5">
              <w:rPr>
                <w:rFonts w:ascii="Calibri" w:hAnsi="Calibri" w:cs="Calibri"/>
                <w:sz w:val="26"/>
                <w:szCs w:val="26"/>
              </w:rPr>
              <w:t>Currently, Mongolia’s export structure is characterized by a high degree of concentration, with mining products accounting for approximately 90% of total exports, nearly 90% of which are destined for the People's Republic of China. While this partnership is a significant driver of growth, such heavy reliance on a single sector and a single trading partner poses substantial risks to macroeconomic stability. Therefore, diversifying the export basket, particularly through the agricultural sector, and expanding into new international markets is a strategic necessity.</w:t>
            </w:r>
          </w:p>
          <w:p w:rsidR="00DE04B5" w:rsidRPr="00DE04B5" w:rsidRDefault="00DE04B5" w:rsidP="00DE04B5">
            <w:pPr>
              <w:jc w:val="left"/>
              <w:rPr>
                <w:rFonts w:ascii="Calibri" w:hAnsi="Calibri" w:cs="Calibri"/>
                <w:sz w:val="10"/>
                <w:szCs w:val="10"/>
              </w:rPr>
            </w:pPr>
          </w:p>
          <w:p w:rsidR="00DE04B5" w:rsidRPr="00DE04B5" w:rsidRDefault="00DE04B5" w:rsidP="005354F5">
            <w:pPr>
              <w:ind w:firstLineChars="50" w:firstLine="130"/>
              <w:jc w:val="left"/>
              <w:rPr>
                <w:rFonts w:ascii="Calibri" w:hAnsi="Calibri" w:cs="Calibri"/>
                <w:sz w:val="26"/>
                <w:szCs w:val="26"/>
              </w:rPr>
            </w:pPr>
            <w:r w:rsidRPr="00DE04B5">
              <w:rPr>
                <w:rFonts w:ascii="Calibri" w:hAnsi="Calibri" w:cs="Calibri"/>
                <w:sz w:val="26"/>
                <w:szCs w:val="26"/>
              </w:rPr>
              <w:t>To evaluate the feasibility of this diversification, this study employs a Gravity Model of Trade to mathematically analyze the determinants of Mongolia’s export flows. The research will specifically investigate the impact of the following variables:</w:t>
            </w:r>
          </w:p>
          <w:p w:rsidR="00DE04B5" w:rsidRPr="00DE04B5" w:rsidRDefault="00DE04B5" w:rsidP="00DE04B5">
            <w:pPr>
              <w:jc w:val="left"/>
              <w:rPr>
                <w:rFonts w:ascii="Calibri" w:hAnsi="Calibri" w:cs="Calibri"/>
                <w:sz w:val="10"/>
                <w:szCs w:val="10"/>
              </w:rPr>
            </w:pPr>
          </w:p>
          <w:p w:rsidR="00DE04B5" w:rsidRPr="00DE04B5" w:rsidRDefault="00DE04B5" w:rsidP="00DE04B5">
            <w:pPr>
              <w:pStyle w:val="a3"/>
              <w:numPr>
                <w:ilvl w:val="0"/>
                <w:numId w:val="1"/>
              </w:numPr>
              <w:ind w:leftChars="0"/>
              <w:jc w:val="left"/>
              <w:rPr>
                <w:rFonts w:ascii="Calibri" w:hAnsi="Calibri" w:cs="Calibri"/>
                <w:sz w:val="26"/>
                <w:szCs w:val="26"/>
              </w:rPr>
            </w:pPr>
            <w:r w:rsidRPr="00DE04B5">
              <w:rPr>
                <w:rFonts w:ascii="Calibri" w:hAnsi="Calibri" w:cs="Calibri"/>
                <w:sz w:val="26"/>
                <w:szCs w:val="26"/>
              </w:rPr>
              <w:t>Geographical Distance and Transportation Costs: Quantifying how physical distance and logistical infrastructure influence the competitiveness of Mongolian agricultural goods in third neighbor markets.</w:t>
            </w:r>
          </w:p>
          <w:p w:rsidR="00DE04B5" w:rsidRPr="00DE04B5" w:rsidRDefault="00DE04B5" w:rsidP="00DE04B5">
            <w:pPr>
              <w:pStyle w:val="a3"/>
              <w:numPr>
                <w:ilvl w:val="0"/>
                <w:numId w:val="1"/>
              </w:numPr>
              <w:ind w:leftChars="0"/>
              <w:jc w:val="left"/>
              <w:rPr>
                <w:rFonts w:ascii="Calibri" w:hAnsi="Calibri" w:cs="Calibri"/>
                <w:sz w:val="26"/>
                <w:szCs w:val="26"/>
              </w:rPr>
            </w:pPr>
            <w:r w:rsidRPr="00DE04B5">
              <w:rPr>
                <w:rFonts w:ascii="Calibri" w:hAnsi="Calibri" w:cs="Calibri"/>
                <w:sz w:val="26"/>
                <w:szCs w:val="26"/>
              </w:rPr>
              <w:t>Cultural and Institutional Proximity: Analyzing whether shared cultural ties or similar legal frameworks reduce 'informal' trade barriers and facilitate smoother market entry.</w:t>
            </w:r>
          </w:p>
          <w:p w:rsidR="00DE04B5" w:rsidRPr="00DE04B5" w:rsidRDefault="00DE04B5" w:rsidP="00DE04B5">
            <w:pPr>
              <w:pStyle w:val="a3"/>
              <w:numPr>
                <w:ilvl w:val="0"/>
                <w:numId w:val="1"/>
              </w:numPr>
              <w:ind w:leftChars="0"/>
              <w:jc w:val="left"/>
              <w:rPr>
                <w:rFonts w:ascii="Calibri" w:hAnsi="Calibri" w:cs="Calibri"/>
                <w:sz w:val="26"/>
                <w:szCs w:val="26"/>
              </w:rPr>
            </w:pPr>
            <w:r w:rsidRPr="00DE04B5">
              <w:rPr>
                <w:rFonts w:ascii="Calibri" w:hAnsi="Calibri" w:cs="Calibri"/>
                <w:sz w:val="26"/>
                <w:szCs w:val="26"/>
              </w:rPr>
              <w:t>Trade Agreements and Policy Frameworks: Assessing the effectiveness of existing frameworks in boosting non-mining exports.</w:t>
            </w:r>
          </w:p>
          <w:p w:rsidR="00DE04B5" w:rsidRPr="00DE04B5" w:rsidRDefault="00DE04B5" w:rsidP="00DE04B5">
            <w:pPr>
              <w:jc w:val="left"/>
              <w:rPr>
                <w:rFonts w:ascii="Calibri" w:hAnsi="Calibri" w:cs="Calibri"/>
                <w:sz w:val="10"/>
                <w:szCs w:val="10"/>
              </w:rPr>
            </w:pPr>
          </w:p>
          <w:p w:rsidR="0024137B" w:rsidRPr="00BF4A5A" w:rsidRDefault="00DE04B5" w:rsidP="00DE04B5">
            <w:pPr>
              <w:spacing w:after="160" w:line="259" w:lineRule="auto"/>
              <w:ind w:firstLineChars="50" w:firstLine="130"/>
              <w:jc w:val="left"/>
              <w:rPr>
                <w:rFonts w:ascii="Calibri" w:hAnsi="Calibri" w:cs="Calibri"/>
                <w:sz w:val="26"/>
                <w:szCs w:val="26"/>
              </w:rPr>
            </w:pPr>
            <w:r w:rsidRPr="00DE04B5">
              <w:rPr>
                <w:rFonts w:ascii="Calibri" w:hAnsi="Calibri" w:cs="Calibri"/>
                <w:sz w:val="26"/>
                <w:szCs w:val="26"/>
              </w:rPr>
              <w:t>By identifying markets where the “trade gravity” is underutilized, this research aims to provide a data-driven roadmap for shifting from a mineral-dependent economy toward a more resilient, multi-sectoral export strategy, focusing on high-value agricultural products for global markets.</w:t>
            </w:r>
          </w:p>
        </w:tc>
      </w:tr>
    </w:tbl>
    <w:p w:rsidR="00BF4A5A" w:rsidRDefault="00BF4A5A" w:rsidP="00BF4A5A">
      <w:pPr>
        <w:rPr>
          <w:rFonts w:ascii="Calibri" w:hAnsi="Calibri" w:cs="Calibri"/>
          <w:sz w:val="26"/>
          <w:szCs w:val="26"/>
        </w:rPr>
      </w:pPr>
    </w:p>
    <w:p w:rsidR="005354F5" w:rsidRPr="00BF4A5A" w:rsidRDefault="005354F5" w:rsidP="00BF4A5A">
      <w:pPr>
        <w:rPr>
          <w:rFonts w:ascii="Calibri" w:hAnsi="Calibri" w:cs="Calibri" w:hint="eastAsia"/>
          <w:sz w:val="26"/>
          <w:szCs w:val="26"/>
        </w:rPr>
      </w:pPr>
    </w:p>
    <w:p w:rsidR="0024137B" w:rsidRPr="0024137B" w:rsidRDefault="00BF4A5A" w:rsidP="0024137B">
      <w:pPr>
        <w:rPr>
          <w:rFonts w:ascii="Calibri" w:hAnsi="Calibri" w:cs="Calibri" w:hint="eastAsia"/>
          <w:b/>
          <w:sz w:val="26"/>
          <w:szCs w:val="26"/>
        </w:rPr>
      </w:pPr>
      <w:r w:rsidRPr="00BF4A5A">
        <w:rPr>
          <w:rFonts w:ascii="Calibri" w:hAnsi="Calibri" w:cs="Calibri"/>
          <w:b/>
          <w:sz w:val="26"/>
          <w:szCs w:val="26"/>
        </w:rPr>
        <w:lastRenderedPageBreak/>
        <w:t>[</w:t>
      </w:r>
      <w:r w:rsidRPr="00BF4A5A">
        <w:rPr>
          <w:rFonts w:ascii="Calibri" w:hAnsi="Calibri" w:cs="Calibri" w:hint="eastAsia"/>
          <w:b/>
          <w:sz w:val="26"/>
          <w:szCs w:val="26"/>
        </w:rPr>
        <w:t>O</w:t>
      </w:r>
      <w:r w:rsidRPr="00BF4A5A">
        <w:rPr>
          <w:rFonts w:ascii="Calibri" w:hAnsi="Calibri" w:cs="Calibri"/>
          <w:b/>
          <w:sz w:val="26"/>
          <w:szCs w:val="26"/>
        </w:rPr>
        <w:t xml:space="preserve">ption </w:t>
      </w:r>
      <w:r w:rsidRPr="00BF4A5A">
        <w:rPr>
          <w:rFonts w:ascii="Calibri" w:hAnsi="Calibri" w:cs="Calibri"/>
          <w:b/>
          <w:sz w:val="26"/>
          <w:szCs w:val="26"/>
        </w:rPr>
        <w:t>6</w:t>
      </w:r>
      <w:r w:rsidRPr="00BF4A5A">
        <w:rPr>
          <w:rFonts w:ascii="Calibri" w:hAnsi="Calibri" w:cs="Calibri"/>
          <w:b/>
          <w:sz w:val="26"/>
          <w:szCs w:val="26"/>
        </w:rPr>
        <w:t xml:space="preserve">: </w:t>
      </w:r>
      <w:r w:rsidRPr="00BF4A5A">
        <w:rPr>
          <w:rFonts w:ascii="Calibri" w:hAnsi="Calibri" w:cs="Calibri"/>
          <w:b/>
          <w:sz w:val="26"/>
          <w:szCs w:val="26"/>
        </w:rPr>
        <w:t xml:space="preserve">Vietnam] Navigating </w:t>
      </w:r>
      <w:proofErr w:type="spellStart"/>
      <w:r w:rsidRPr="00BF4A5A">
        <w:rPr>
          <w:rFonts w:ascii="Calibri" w:hAnsi="Calibri" w:cs="Calibri"/>
          <w:b/>
          <w:sz w:val="26"/>
          <w:szCs w:val="26"/>
        </w:rPr>
        <w:t>Glocal</w:t>
      </w:r>
      <w:proofErr w:type="spellEnd"/>
      <w:r w:rsidRPr="00BF4A5A">
        <w:rPr>
          <w:rFonts w:ascii="Calibri" w:hAnsi="Calibri" w:cs="Calibri"/>
          <w:b/>
          <w:sz w:val="26"/>
          <w:szCs w:val="26"/>
        </w:rPr>
        <w:t xml:space="preserve"> Fiscal Conflict: The Impact of the Global Minimum Tax on Vietnam and Strategic Lessons from Emerging Economies</w:t>
      </w:r>
    </w:p>
    <w:tbl>
      <w:tblPr>
        <w:tblStyle w:val="a4"/>
        <w:tblW w:w="0" w:type="auto"/>
        <w:tblBorders>
          <w:insideH w:val="dotted" w:sz="4" w:space="0" w:color="auto"/>
        </w:tblBorders>
        <w:tblLook w:val="04A0" w:firstRow="1" w:lastRow="0" w:firstColumn="1" w:lastColumn="0" w:noHBand="0" w:noVBand="1"/>
      </w:tblPr>
      <w:tblGrid>
        <w:gridCol w:w="9016"/>
      </w:tblGrid>
      <w:tr w:rsidR="0024137B" w:rsidRPr="00BF4A5A" w:rsidTr="005354F5">
        <w:tc>
          <w:tcPr>
            <w:tcW w:w="9016" w:type="dxa"/>
            <w:tcBorders>
              <w:top w:val="single" w:sz="4" w:space="0" w:color="auto"/>
              <w:bottom w:val="dotted" w:sz="4" w:space="0" w:color="auto"/>
            </w:tcBorders>
            <w:shd w:val="clear" w:color="auto" w:fill="F2F2F2" w:themeFill="background1" w:themeFillShade="F2"/>
          </w:tcPr>
          <w:p w:rsidR="0024137B" w:rsidRPr="0024137B" w:rsidRDefault="0024137B" w:rsidP="00250C60">
            <w:pPr>
              <w:jc w:val="left"/>
              <w:rPr>
                <w:rFonts w:ascii="Calibri" w:hAnsi="Calibri" w:cs="Calibri" w:hint="eastAsia"/>
                <w:b/>
                <w:sz w:val="26"/>
                <w:szCs w:val="26"/>
              </w:rPr>
            </w:pPr>
            <w:r w:rsidRPr="0024137B">
              <w:rPr>
                <w:rFonts w:ascii="Calibri" w:hAnsi="Calibri" w:cs="Calibri" w:hint="eastAsia"/>
                <w:b/>
                <w:sz w:val="26"/>
                <w:szCs w:val="26"/>
              </w:rPr>
              <w:t>&lt;</w:t>
            </w:r>
            <w:r w:rsidRPr="0024137B">
              <w:rPr>
                <w:rFonts w:ascii="Calibri" w:hAnsi="Calibri" w:cs="Calibri"/>
                <w:b/>
                <w:sz w:val="26"/>
                <w:szCs w:val="26"/>
              </w:rPr>
              <w:t>Research topic description</w:t>
            </w:r>
            <w:r w:rsidRPr="0024137B">
              <w:rPr>
                <w:rFonts w:ascii="Calibri" w:hAnsi="Calibri" w:cs="Calibri" w:hint="eastAsia"/>
                <w:b/>
                <w:sz w:val="26"/>
                <w:szCs w:val="26"/>
              </w:rPr>
              <w:t>&gt;</w:t>
            </w:r>
          </w:p>
        </w:tc>
      </w:tr>
      <w:tr w:rsidR="0024137B" w:rsidRPr="00BF4A5A" w:rsidTr="005354F5">
        <w:tc>
          <w:tcPr>
            <w:tcW w:w="9016" w:type="dxa"/>
            <w:tcBorders>
              <w:top w:val="dotted" w:sz="4" w:space="0" w:color="auto"/>
            </w:tcBorders>
          </w:tcPr>
          <w:p w:rsidR="0024137B" w:rsidRPr="0024137B" w:rsidRDefault="0024137B" w:rsidP="00250C60">
            <w:pPr>
              <w:jc w:val="left"/>
              <w:rPr>
                <w:rFonts w:ascii="Calibri" w:hAnsi="Calibri" w:cs="Calibri"/>
                <w:sz w:val="10"/>
                <w:szCs w:val="10"/>
              </w:rPr>
            </w:pPr>
          </w:p>
          <w:p w:rsidR="002550A8" w:rsidRPr="002550A8" w:rsidRDefault="002550A8" w:rsidP="002550A8">
            <w:pPr>
              <w:ind w:firstLineChars="50" w:firstLine="130"/>
              <w:jc w:val="left"/>
              <w:rPr>
                <w:rFonts w:ascii="Calibri" w:hAnsi="Calibri" w:cs="Calibri"/>
                <w:sz w:val="26"/>
                <w:szCs w:val="26"/>
              </w:rPr>
            </w:pPr>
            <w:r w:rsidRPr="002550A8">
              <w:rPr>
                <w:rFonts w:ascii="Calibri" w:hAnsi="Calibri" w:cs="Calibri"/>
                <w:sz w:val="26"/>
                <w:szCs w:val="26"/>
              </w:rPr>
              <w:t>The OECD’s Global Minimum Tax (GMT) initiative mandates a 15% effective corporate tax rate, fundamentally altering international tax governance. For Vietnam, this global framework creates a significant "</w:t>
            </w:r>
            <w:proofErr w:type="spellStart"/>
            <w:r w:rsidRPr="002550A8">
              <w:rPr>
                <w:rFonts w:ascii="Calibri" w:hAnsi="Calibri" w:cs="Calibri"/>
                <w:sz w:val="26"/>
                <w:szCs w:val="26"/>
              </w:rPr>
              <w:t>glocal</w:t>
            </w:r>
            <w:proofErr w:type="spellEnd"/>
            <w:r w:rsidRPr="002550A8">
              <w:rPr>
                <w:rFonts w:ascii="Calibri" w:hAnsi="Calibri" w:cs="Calibri"/>
                <w:sz w:val="26"/>
                <w:szCs w:val="26"/>
              </w:rPr>
              <w:t xml:space="preserve"> conflict" by neutralizing traditional income-based tax incentives, which have historically been the cornerstone of its strategy to attract Foreign Direct Investment (FDI). </w:t>
            </w:r>
          </w:p>
          <w:p w:rsidR="002550A8" w:rsidRPr="002550A8" w:rsidRDefault="002550A8" w:rsidP="002550A8">
            <w:pPr>
              <w:jc w:val="left"/>
              <w:rPr>
                <w:rFonts w:ascii="Calibri" w:hAnsi="Calibri" w:cs="Calibri"/>
                <w:sz w:val="10"/>
                <w:szCs w:val="10"/>
              </w:rPr>
            </w:pPr>
          </w:p>
          <w:p w:rsidR="002550A8" w:rsidRPr="002550A8" w:rsidRDefault="002550A8" w:rsidP="002550A8">
            <w:pPr>
              <w:jc w:val="left"/>
              <w:rPr>
                <w:rFonts w:ascii="Calibri" w:hAnsi="Calibri" w:cs="Calibri"/>
                <w:sz w:val="26"/>
                <w:szCs w:val="26"/>
              </w:rPr>
            </w:pPr>
            <w:r w:rsidRPr="002550A8">
              <w:rPr>
                <w:rFonts w:ascii="Calibri" w:hAnsi="Calibri" w:cs="Calibri"/>
                <w:sz w:val="26"/>
                <w:szCs w:val="26"/>
              </w:rPr>
              <w:t xml:space="preserve"> This research aims to analyze the direct implications of the GMT on Vietnam's fiscal sovereignty and FDI competitiveness.</w:t>
            </w:r>
          </w:p>
          <w:p w:rsidR="002550A8" w:rsidRPr="002550A8" w:rsidRDefault="002550A8" w:rsidP="002550A8">
            <w:pPr>
              <w:jc w:val="left"/>
              <w:rPr>
                <w:rFonts w:ascii="Calibri" w:hAnsi="Calibri" w:cs="Calibri"/>
                <w:sz w:val="10"/>
                <w:szCs w:val="10"/>
              </w:rPr>
            </w:pPr>
          </w:p>
          <w:p w:rsidR="002550A8" w:rsidRPr="002550A8" w:rsidRDefault="002550A8" w:rsidP="002550A8">
            <w:pPr>
              <w:jc w:val="left"/>
              <w:rPr>
                <w:rFonts w:ascii="Calibri" w:hAnsi="Calibri" w:cs="Calibri"/>
                <w:sz w:val="26"/>
                <w:szCs w:val="26"/>
              </w:rPr>
            </w:pPr>
            <w:r w:rsidRPr="002550A8">
              <w:rPr>
                <w:rFonts w:ascii="Calibri" w:hAnsi="Calibri" w:cs="Calibri"/>
                <w:sz w:val="26"/>
                <w:szCs w:val="26"/>
              </w:rPr>
              <w:t xml:space="preserve"> Furthermore, to resolve this </w:t>
            </w:r>
            <w:proofErr w:type="spellStart"/>
            <w:r w:rsidRPr="002550A8">
              <w:rPr>
                <w:rFonts w:ascii="Calibri" w:hAnsi="Calibri" w:cs="Calibri"/>
                <w:sz w:val="26"/>
                <w:szCs w:val="26"/>
              </w:rPr>
              <w:t>glocal</w:t>
            </w:r>
            <w:proofErr w:type="spellEnd"/>
            <w:r w:rsidRPr="002550A8">
              <w:rPr>
                <w:rFonts w:ascii="Calibri" w:hAnsi="Calibri" w:cs="Calibri"/>
                <w:sz w:val="26"/>
                <w:szCs w:val="26"/>
              </w:rPr>
              <w:t xml:space="preserve"> tension, the study will comparatively examine how other nations are adapting to these new rules.</w:t>
            </w:r>
          </w:p>
          <w:p w:rsidR="002550A8" w:rsidRPr="002550A8" w:rsidRDefault="002550A8" w:rsidP="002550A8">
            <w:pPr>
              <w:jc w:val="left"/>
              <w:rPr>
                <w:rFonts w:ascii="Calibri" w:hAnsi="Calibri" w:cs="Calibri"/>
                <w:sz w:val="10"/>
                <w:szCs w:val="10"/>
              </w:rPr>
            </w:pPr>
          </w:p>
          <w:p w:rsidR="002550A8" w:rsidRPr="002550A8" w:rsidRDefault="002550A8" w:rsidP="002550A8">
            <w:pPr>
              <w:jc w:val="left"/>
              <w:rPr>
                <w:rFonts w:ascii="Calibri" w:hAnsi="Calibri" w:cs="Calibri"/>
                <w:sz w:val="26"/>
                <w:szCs w:val="26"/>
              </w:rPr>
            </w:pPr>
            <w:r w:rsidRPr="002550A8">
              <w:rPr>
                <w:rFonts w:ascii="Calibri" w:hAnsi="Calibri" w:cs="Calibri"/>
                <w:sz w:val="26"/>
                <w:szCs w:val="26"/>
              </w:rPr>
              <w:t xml:space="preserve"> By evaluating international lessons, such as the implementation of Qualified Domestic Minimum Top-up Taxes (QDMTT) or the shift towards expenditure-based incentives in peer economies, this paper will propose sustainable fiscal strategies for Vietnam. </w:t>
            </w:r>
          </w:p>
          <w:p w:rsidR="002550A8" w:rsidRPr="002550A8" w:rsidRDefault="002550A8" w:rsidP="002550A8">
            <w:pPr>
              <w:jc w:val="left"/>
              <w:rPr>
                <w:rFonts w:ascii="Calibri" w:hAnsi="Calibri" w:cs="Calibri"/>
                <w:sz w:val="10"/>
                <w:szCs w:val="10"/>
              </w:rPr>
            </w:pPr>
          </w:p>
          <w:p w:rsidR="0024137B" w:rsidRPr="00BF4A5A" w:rsidRDefault="002550A8" w:rsidP="002550A8">
            <w:pPr>
              <w:spacing w:after="160" w:line="259" w:lineRule="auto"/>
              <w:jc w:val="left"/>
              <w:rPr>
                <w:rFonts w:ascii="Calibri" w:hAnsi="Calibri" w:cs="Calibri"/>
                <w:sz w:val="26"/>
                <w:szCs w:val="26"/>
              </w:rPr>
            </w:pPr>
            <w:r w:rsidRPr="002550A8">
              <w:rPr>
                <w:rFonts w:ascii="Calibri" w:hAnsi="Calibri" w:cs="Calibri"/>
                <w:sz w:val="26"/>
                <w:szCs w:val="26"/>
              </w:rPr>
              <w:t xml:space="preserve"> Ultimately, it explores how developing nations can reform local tax policies to remain competitive while objectively complying with global standards. </w:t>
            </w:r>
          </w:p>
        </w:tc>
      </w:tr>
    </w:tbl>
    <w:p w:rsidR="00BF4A5A" w:rsidRPr="00BF4A5A" w:rsidRDefault="00BF4A5A" w:rsidP="00BF4A5A">
      <w:pPr>
        <w:rPr>
          <w:rFonts w:ascii="Calibri" w:hAnsi="Calibri" w:cs="Calibri" w:hint="eastAsia"/>
          <w:sz w:val="26"/>
          <w:szCs w:val="26"/>
        </w:rPr>
      </w:pPr>
    </w:p>
    <w:sectPr w:rsidR="00BF4A5A" w:rsidRPr="00BF4A5A">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99" w:rsidRDefault="008E6399" w:rsidP="00ED52A6">
      <w:pPr>
        <w:spacing w:after="0" w:line="240" w:lineRule="auto"/>
      </w:pPr>
      <w:r>
        <w:separator/>
      </w:r>
    </w:p>
  </w:endnote>
  <w:endnote w:type="continuationSeparator" w:id="0">
    <w:p w:rsidR="008E6399" w:rsidRDefault="008E6399" w:rsidP="00E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Y헤드라인M">
    <w:panose1 w:val="02030600000101010101"/>
    <w:charset w:val="81"/>
    <w:family w:val="roman"/>
    <w:pitch w:val="variable"/>
    <w:sig w:usb0="900002A7" w:usb1="0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742121"/>
      <w:docPartObj>
        <w:docPartGallery w:val="Page Numbers (Bottom of Page)"/>
        <w:docPartUnique/>
      </w:docPartObj>
    </w:sdtPr>
    <w:sdtEndPr/>
    <w:sdtContent>
      <w:p w:rsidR="00ED52A6" w:rsidRDefault="00ED52A6" w:rsidP="00ED52A6">
        <w:pPr>
          <w:pStyle w:val="a6"/>
          <w:jc w:val="center"/>
        </w:pPr>
        <w:r>
          <w:fldChar w:fldCharType="begin"/>
        </w:r>
        <w:r>
          <w:instrText>PAGE   \* MERGEFORMAT</w:instrText>
        </w:r>
        <w:r>
          <w:fldChar w:fldCharType="separate"/>
        </w:r>
        <w:r w:rsidR="00F416A3" w:rsidRPr="00F416A3">
          <w:rPr>
            <w:noProof/>
            <w:lang w:val="ko-KR"/>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99" w:rsidRDefault="008E6399" w:rsidP="00ED52A6">
      <w:pPr>
        <w:spacing w:after="0" w:line="240" w:lineRule="auto"/>
      </w:pPr>
      <w:r>
        <w:separator/>
      </w:r>
    </w:p>
  </w:footnote>
  <w:footnote w:type="continuationSeparator" w:id="0">
    <w:p w:rsidR="008E6399" w:rsidRDefault="008E6399" w:rsidP="00ED5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25742"/>
    <w:multiLevelType w:val="hybridMultilevel"/>
    <w:tmpl w:val="2AE02BA0"/>
    <w:lvl w:ilvl="0" w:tplc="7ABCDC6E">
      <w:numFmt w:val="bullet"/>
      <w:lvlText w:val="•"/>
      <w:lvlJc w:val="left"/>
      <w:pPr>
        <w:ind w:left="760" w:hanging="360"/>
      </w:pPr>
      <w:rPr>
        <w:rFonts w:ascii="맑은 고딕" w:eastAsia="맑은 고딕" w:hAnsi="맑은 고딕"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CED0F0C"/>
    <w:multiLevelType w:val="hybridMultilevel"/>
    <w:tmpl w:val="EA44E680"/>
    <w:lvl w:ilvl="0" w:tplc="2778A2E8">
      <w:start w:val="1"/>
      <w:numFmt w:val="bullet"/>
      <w:lvlText w:val="•"/>
      <w:lvlJc w:val="left"/>
      <w:pPr>
        <w:ind w:left="800" w:hanging="400"/>
      </w:pPr>
      <w:rPr>
        <w:rFonts w:ascii="Times New Roman" w:eastAsia="맑은 고딕" w:hAnsi="Times New Roman" w:cs="Times New Roman" w:hint="default"/>
        <w:kern w:val="6553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23"/>
    <w:rsid w:val="00117335"/>
    <w:rsid w:val="001E3F0F"/>
    <w:rsid w:val="00204710"/>
    <w:rsid w:val="0024137B"/>
    <w:rsid w:val="002550A8"/>
    <w:rsid w:val="00323C0F"/>
    <w:rsid w:val="00407F2A"/>
    <w:rsid w:val="004A5623"/>
    <w:rsid w:val="005354F5"/>
    <w:rsid w:val="005D5CA5"/>
    <w:rsid w:val="008E6399"/>
    <w:rsid w:val="009C24DC"/>
    <w:rsid w:val="00A15E77"/>
    <w:rsid w:val="00AD4E89"/>
    <w:rsid w:val="00BF4A5A"/>
    <w:rsid w:val="00DE04B5"/>
    <w:rsid w:val="00ED52A6"/>
    <w:rsid w:val="00F416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5B5E"/>
  <w15:chartTrackingRefBased/>
  <w15:docId w15:val="{E5CB4088-94D2-484D-9D45-F84B4B22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C0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C0F"/>
    <w:pPr>
      <w:ind w:leftChars="400" w:left="800"/>
    </w:pPr>
  </w:style>
  <w:style w:type="table" w:styleId="a4">
    <w:name w:val="Table Grid"/>
    <w:basedOn w:val="a1"/>
    <w:uiPriority w:val="39"/>
    <w:rsid w:val="00323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D52A6"/>
    <w:pPr>
      <w:tabs>
        <w:tab w:val="center" w:pos="4513"/>
        <w:tab w:val="right" w:pos="9026"/>
      </w:tabs>
      <w:snapToGrid w:val="0"/>
    </w:pPr>
  </w:style>
  <w:style w:type="character" w:customStyle="1" w:styleId="Char">
    <w:name w:val="머리글 Char"/>
    <w:basedOn w:val="a0"/>
    <w:link w:val="a5"/>
    <w:uiPriority w:val="99"/>
    <w:rsid w:val="00ED52A6"/>
  </w:style>
  <w:style w:type="paragraph" w:styleId="a6">
    <w:name w:val="footer"/>
    <w:basedOn w:val="a"/>
    <w:link w:val="Char0"/>
    <w:uiPriority w:val="99"/>
    <w:unhideWhenUsed/>
    <w:rsid w:val="00ED52A6"/>
    <w:pPr>
      <w:tabs>
        <w:tab w:val="center" w:pos="4513"/>
        <w:tab w:val="right" w:pos="9026"/>
      </w:tabs>
      <w:snapToGrid w:val="0"/>
    </w:pPr>
  </w:style>
  <w:style w:type="character" w:customStyle="1" w:styleId="Char0">
    <w:name w:val="바닥글 Char"/>
    <w:basedOn w:val="a0"/>
    <w:link w:val="a6"/>
    <w:uiPriority w:val="99"/>
    <w:rsid w:val="00ED5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1C5E-1243-415D-B59B-FAED4FB4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1241</Words>
  <Characters>7076</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2025-10-22T02:10:00Z</dcterms:created>
  <dcterms:modified xsi:type="dcterms:W3CDTF">2026-04-23T01:55:00Z</dcterms:modified>
</cp:coreProperties>
</file>